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left"/>
        <w:rPr>
          <w:rFonts w:ascii="Arial" w:hAnsi="Arial" w:cs="Arial"/>
          <w:b/>
          <w:bCs/>
          <w:sz w:val="22"/>
          <w:szCs w:val="22"/>
        </w:rPr>
      </w:pPr>
      <w:bookmarkStart w:id="0" w:name="_Hlk145670493"/>
      <w:bookmarkStart w:id="1" w:name="_Hlk117841894"/>
      <w:r>
        <w:rPr>
          <w:rFonts w:ascii="Arial" w:hAnsi="Arial" w:cs="Arial"/>
          <w:b/>
          <w:bCs/>
          <w:sz w:val="22"/>
          <w:szCs w:val="22"/>
        </w:rPr>
        <w:t>3GPP TSG RAN WG1 #116</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hint="default" w:ascii="Arial" w:hAnsi="Arial" w:cs="Arial"/>
          <w:b/>
          <w:bCs/>
          <w:sz w:val="22"/>
          <w:szCs w:val="22"/>
          <w:lang w:val="en-US"/>
        </w:rPr>
        <w:tab/>
      </w:r>
      <w:r>
        <w:rPr>
          <w:rFonts w:hint="default" w:ascii="Arial" w:hAnsi="Arial" w:cs="Arial"/>
          <w:b/>
          <w:bCs/>
          <w:sz w:val="22"/>
          <w:szCs w:val="22"/>
          <w:lang w:val="en-US"/>
        </w:rPr>
        <w:tab/>
      </w:r>
      <w:r>
        <w:rPr>
          <w:rFonts w:hint="default" w:ascii="Arial" w:hAnsi="Arial" w:cs="Arial"/>
          <w:b/>
          <w:bCs/>
          <w:sz w:val="22"/>
          <w:szCs w:val="22"/>
          <w:lang w:val="en-US"/>
        </w:rPr>
        <w:tab/>
      </w:r>
      <w:r>
        <w:rPr>
          <w:rFonts w:hint="default" w:ascii="Arial" w:hAnsi="Arial" w:cs="Arial"/>
          <w:b/>
          <w:bCs/>
          <w:sz w:val="22"/>
          <w:szCs w:val="22"/>
          <w:lang w:val="en-US"/>
        </w:rPr>
        <w:t xml:space="preserve">   </w:t>
      </w:r>
      <w:r>
        <w:rPr>
          <w:rFonts w:ascii="Arial" w:hAnsi="Arial" w:eastAsia="바탕" w:cs="Arial"/>
          <w:b/>
          <w:bCs/>
          <w:sz w:val="22"/>
          <w:szCs w:val="22"/>
          <w:lang w:val="en-GB" w:eastAsia="en-US" w:bidi="ar-SA"/>
        </w:rPr>
        <w:t>R1-</w:t>
      </w:r>
      <w:r>
        <w:rPr>
          <w:rFonts w:ascii="Arial" w:hAnsi="Arial" w:eastAsia="바탕" w:cs="Arial"/>
          <w:b/>
          <w:bCs/>
          <w:sz w:val="22"/>
          <w:szCs w:val="22"/>
          <w:lang w:val="en-US" w:eastAsia="zh-CN" w:bidi="ar-SA"/>
        </w:rPr>
        <w:t>2401022</w:t>
      </w:r>
    </w:p>
    <w:p>
      <w:pPr>
        <w:tabs>
          <w:tab w:val="center" w:pos="4536"/>
          <w:tab w:val="right" w:pos="9072"/>
        </w:tabs>
        <w:rPr>
          <w:rFonts w:ascii="Arial" w:hAnsi="Arial" w:eastAsia="MS Mincho" w:cs="Arial"/>
          <w:b/>
          <w:bCs/>
          <w:sz w:val="22"/>
          <w:szCs w:val="22"/>
          <w:lang w:eastAsia="ja-JP"/>
        </w:rPr>
      </w:pPr>
      <w:r>
        <w:rPr>
          <w:rFonts w:ascii="Arial" w:hAnsi="Arial" w:eastAsia="MS Mincho" w:cs="Arial"/>
          <w:b/>
          <w:bCs/>
          <w:sz w:val="22"/>
          <w:szCs w:val="22"/>
          <w:lang w:eastAsia="ja-JP"/>
        </w:rPr>
        <w:t>Athens, Greece, February 26</w:t>
      </w:r>
      <w:r>
        <w:rPr>
          <w:rFonts w:hint="eastAsia" w:ascii="Malgun Gothic" w:hAnsi="Malgun Gothic" w:eastAsia="Malgun Gothic" w:cs="Malgun Gothic"/>
          <w:b/>
          <w:bCs/>
          <w:sz w:val="22"/>
          <w:szCs w:val="22"/>
          <w:vertAlign w:val="superscript"/>
          <w:lang w:eastAsia="ko-KR"/>
        </w:rPr>
        <w:t>th</w:t>
      </w:r>
      <w:r>
        <w:rPr>
          <w:rFonts w:ascii="Arial" w:hAnsi="Arial" w:eastAsia="MS Mincho" w:cs="Arial"/>
          <w:b/>
          <w:bCs/>
          <w:sz w:val="22"/>
          <w:szCs w:val="22"/>
          <w:lang w:eastAsia="ja-JP"/>
        </w:rPr>
        <w:t xml:space="preserve"> </w:t>
      </w:r>
      <w:r>
        <w:rPr>
          <w:rFonts w:ascii="Arial" w:hAnsi="Arial" w:cs="Arial"/>
          <w:b/>
          <w:bCs/>
          <w:sz w:val="22"/>
          <w:szCs w:val="22"/>
        </w:rPr>
        <w:t>– March 1</w:t>
      </w:r>
      <w:r>
        <w:rPr>
          <w:rFonts w:ascii="Arial" w:hAnsi="Arial" w:cs="Arial"/>
          <w:b/>
          <w:bCs/>
          <w:sz w:val="22"/>
          <w:szCs w:val="22"/>
          <w:vertAlign w:val="superscript"/>
        </w:rPr>
        <w:t>st</w:t>
      </w:r>
      <w:r>
        <w:rPr>
          <w:rFonts w:ascii="Arial" w:hAnsi="Arial" w:eastAsia="MS Mincho" w:cs="Arial"/>
          <w:b/>
          <w:bCs/>
          <w:sz w:val="22"/>
          <w:szCs w:val="22"/>
          <w:lang w:eastAsia="ja-JP"/>
        </w:rPr>
        <w:t>, 2024</w:t>
      </w:r>
    </w:p>
    <w:bookmarkEnd w:id="0"/>
    <w:p>
      <w:pPr>
        <w:rPr>
          <w:sz w:val="22"/>
          <w:szCs w:val="22"/>
        </w:rPr>
      </w:pPr>
    </w:p>
    <w:bookmarkEnd w:id="1"/>
    <w:p>
      <w:pPr>
        <w:tabs>
          <w:tab w:val="left" w:pos="1985"/>
          <w:tab w:val="left" w:pos="2835"/>
          <w:tab w:val="right" w:pos="9072"/>
          <w:tab w:val="right" w:pos="10206"/>
        </w:tabs>
        <w:rPr>
          <w:rFonts w:hint="default" w:ascii="Arial" w:hAnsi="Arial"/>
          <w:b/>
          <w:sz w:val="22"/>
          <w:szCs w:val="22"/>
          <w:lang w:val="en-US"/>
        </w:rPr>
      </w:pPr>
      <w:r>
        <w:rPr>
          <w:rFonts w:hint="default" w:ascii="Arial" w:hAnsi="Arial"/>
          <w:b/>
          <w:sz w:val="22"/>
          <w:szCs w:val="22"/>
          <w:lang w:val="en-US"/>
        </w:rPr>
        <w:t xml:space="preserve">Agenda item: </w:t>
      </w:r>
      <w:r>
        <w:rPr>
          <w:rFonts w:hint="default" w:ascii="Arial" w:hAnsi="Arial"/>
          <w:b/>
          <w:sz w:val="22"/>
          <w:szCs w:val="22"/>
          <w:lang w:val="en-US"/>
        </w:rPr>
        <w:tab/>
      </w:r>
      <w:r>
        <w:rPr>
          <w:rFonts w:hint="default" w:ascii="Arial" w:hAnsi="Arial"/>
          <w:b/>
          <w:sz w:val="22"/>
          <w:szCs w:val="22"/>
          <w:lang w:val="en-US"/>
        </w:rPr>
        <w:t>9.5.3</w:t>
      </w:r>
    </w:p>
    <w:p>
      <w:pPr>
        <w:tabs>
          <w:tab w:val="left" w:pos="1985"/>
          <w:tab w:val="left" w:pos="2835"/>
          <w:tab w:val="right" w:pos="9072"/>
          <w:tab w:val="right" w:pos="10206"/>
        </w:tabs>
        <w:rPr>
          <w:rFonts w:hint="default" w:ascii="Arial" w:hAnsi="Arial"/>
          <w:b/>
          <w:sz w:val="22"/>
          <w:szCs w:val="22"/>
          <w:lang w:val="en-US"/>
        </w:rPr>
      </w:pPr>
      <w:r>
        <w:rPr>
          <w:rFonts w:ascii="Arial" w:hAnsi="Arial"/>
          <w:b/>
          <w:sz w:val="22"/>
          <w:szCs w:val="22"/>
        </w:rPr>
        <w:t xml:space="preserve">Source: </w:t>
      </w:r>
      <w:r>
        <w:rPr>
          <w:rFonts w:ascii="Arial" w:hAnsi="Arial"/>
          <w:b/>
          <w:sz w:val="22"/>
          <w:szCs w:val="22"/>
        </w:rPr>
        <w:tab/>
      </w:r>
      <w:r>
        <w:rPr>
          <w:rFonts w:hint="default" w:ascii="Arial" w:hAnsi="Arial"/>
          <w:b/>
          <w:sz w:val="22"/>
          <w:szCs w:val="22"/>
          <w:lang w:val="en-US"/>
        </w:rPr>
        <w:t>Apple</w:t>
      </w:r>
    </w:p>
    <w:p>
      <w:pPr>
        <w:tabs>
          <w:tab w:val="left" w:pos="1985"/>
          <w:tab w:val="left" w:pos="2835"/>
          <w:tab w:val="right" w:pos="9072"/>
          <w:tab w:val="right" w:pos="10206"/>
        </w:tabs>
        <w:rPr>
          <w:rFonts w:hint="default" w:ascii="Arial" w:hAnsi="Arial"/>
          <w:b/>
          <w:sz w:val="22"/>
          <w:szCs w:val="22"/>
          <w:lang w:val="en-US"/>
        </w:rPr>
      </w:pPr>
      <w:r>
        <w:rPr>
          <w:rFonts w:ascii="Arial" w:hAnsi="Arial"/>
          <w:b/>
          <w:sz w:val="22"/>
          <w:szCs w:val="22"/>
        </w:rPr>
        <w:t>Title:</w:t>
      </w:r>
      <w:bookmarkStart w:id="2" w:name="Title"/>
      <w:bookmarkEnd w:id="2"/>
      <w:r>
        <w:rPr>
          <w:rFonts w:ascii="Arial" w:hAnsi="Arial"/>
          <w:b/>
          <w:sz w:val="22"/>
          <w:szCs w:val="22"/>
        </w:rPr>
        <w:tab/>
      </w:r>
      <w:r>
        <w:rPr>
          <w:rFonts w:hint="default" w:ascii="Arial" w:hAnsi="Arial"/>
          <w:b/>
          <w:sz w:val="22"/>
          <w:szCs w:val="22"/>
          <w:lang w:val="en-US"/>
        </w:rPr>
        <w:t>On adaptation of common signal/channel for NES enhancements</w:t>
      </w:r>
    </w:p>
    <w:p>
      <w:pPr>
        <w:tabs>
          <w:tab w:val="left" w:pos="1985"/>
          <w:tab w:val="left" w:pos="2835"/>
          <w:tab w:val="right" w:pos="9072"/>
          <w:tab w:val="right" w:pos="10206"/>
        </w:tabs>
      </w:pPr>
      <w:r>
        <w:rPr>
          <w:rFonts w:ascii="Arial" w:hAnsi="Arial"/>
          <w:b/>
          <w:sz w:val="22"/>
          <w:szCs w:val="22"/>
        </w:rPr>
        <w:t>Document for:</w:t>
      </w:r>
      <w:r>
        <w:rPr>
          <w:rFonts w:ascii="Arial" w:hAnsi="Arial"/>
          <w:b/>
          <w:sz w:val="22"/>
          <w:szCs w:val="22"/>
        </w:rPr>
        <w:tab/>
      </w:r>
      <w:bookmarkStart w:id="3" w:name="DocumentFor"/>
      <w:bookmarkEnd w:id="3"/>
      <w:r>
        <w:rPr>
          <w:rFonts w:ascii="Arial" w:hAnsi="Arial"/>
          <w:b/>
          <w:sz w:val="22"/>
          <w:szCs w:val="22"/>
        </w:rPr>
        <w:t>D</w:t>
      </w:r>
      <w:r>
        <w:rPr>
          <w:rFonts w:hint="default" w:ascii="Arial" w:hAnsi="Arial"/>
          <w:b/>
          <w:sz w:val="22"/>
          <w:szCs w:val="22"/>
          <w:lang w:val="en-US"/>
        </w:rPr>
        <w:t>iscussion/Decision</w:t>
      </w:r>
    </w:p>
    <w:p>
      <w:pPr>
        <w:keepNext/>
        <w:keepLines/>
        <w:numPr>
          <w:ilvl w:val="0"/>
          <w:numId w:val="3"/>
        </w:numPr>
        <w:pBdr>
          <w:top w:val="single" w:color="auto" w:sz="12" w:space="3"/>
        </w:pBdr>
        <w:overflowPunct w:val="0"/>
        <w:autoSpaceDE w:val="0"/>
        <w:autoSpaceDN w:val="0"/>
        <w:adjustRightInd w:val="0"/>
        <w:spacing w:before="240" w:after="180"/>
        <w:jc w:val="both"/>
        <w:textAlignment w:val="baseline"/>
        <w:outlineLvl w:val="0"/>
        <w:rPr>
          <w:rFonts w:ascii="Times New Roman" w:hAnsi="Times New Roman" w:eastAsia="Malgun Gothic" w:cs="Times New Roman"/>
          <w:sz w:val="36"/>
          <w:szCs w:val="36"/>
          <w:lang w:val="en-US" w:eastAsia="zh-CN" w:bidi="ar-SA"/>
        </w:rPr>
      </w:pPr>
      <w:r>
        <w:rPr>
          <w:rFonts w:ascii="Times New Roman" w:hAnsi="Times New Roman" w:eastAsia="Malgun Gothic" w:cs="Times New Roman"/>
          <w:sz w:val="36"/>
          <w:szCs w:val="36"/>
          <w:lang w:val="en-US" w:eastAsia="zh-CN" w:bidi="ar-SA"/>
        </w:rPr>
        <w:t xml:space="preserve"> Introduction</w:t>
      </w:r>
    </w:p>
    <w:p>
      <w:pPr>
        <w:spacing w:after="120"/>
        <w:jc w:val="both"/>
        <w:rPr>
          <w:rFonts w:ascii="Times New Roman" w:hAnsi="Times New Roman" w:eastAsia="Times New Roman" w:cs="Times New Roman"/>
          <w:lang w:val="en-US" w:eastAsia="zh-CN"/>
        </w:rPr>
      </w:pPr>
      <w:r>
        <w:rPr>
          <w:rFonts w:ascii="Times New Roman" w:hAnsi="Times New Roman" w:eastAsia="Times New Roman" w:cs="Times New Roman"/>
          <w:lang w:val="en-US" w:eastAsia="zh-CN"/>
        </w:rPr>
        <w:t>In R</w:t>
      </w:r>
      <w:r>
        <w:rPr>
          <w:rFonts w:hint="default" w:ascii="Times New Roman" w:hAnsi="Times New Roman" w:eastAsia="Times New Roman" w:cs="Times New Roman"/>
          <w:lang w:val="en-US" w:eastAsia="zh-CN"/>
        </w:rPr>
        <w:t>P-2340</w:t>
      </w:r>
      <w:r>
        <w:rPr>
          <w:rFonts w:hint="default" w:eastAsia="Times New Roman" w:cs="Times New Roman"/>
          <w:lang w:val="en-US" w:eastAsia="zh-CN"/>
        </w:rPr>
        <w:t>65</w:t>
      </w:r>
      <w:r>
        <w:rPr>
          <w:rFonts w:ascii="Times New Roman" w:hAnsi="Times New Roman" w:eastAsia="Times New Roman" w:cs="Times New Roman"/>
          <w:lang w:val="en-US" w:eastAsia="zh-CN"/>
        </w:rPr>
        <w:t xml:space="preserve"> [1], </w:t>
      </w:r>
      <w:r>
        <w:rPr>
          <w:rFonts w:hint="default" w:ascii="Times New Roman" w:hAnsi="Times New Roman" w:eastAsia="Times New Roman" w:cs="Times New Roman"/>
          <w:lang w:val="en-US" w:eastAsia="zh-CN"/>
        </w:rPr>
        <w:t xml:space="preserve">the Release 19 work item on </w:t>
      </w:r>
      <w:r>
        <w:rPr>
          <w:rFonts w:hint="default" w:eastAsia="Times New Roman" w:cs="Times New Roman"/>
          <w:lang w:val="en-US" w:eastAsia="zh-CN"/>
        </w:rPr>
        <w:t xml:space="preserve">Enhancements of network energy savings for NR </w:t>
      </w:r>
      <w:r>
        <w:rPr>
          <w:rFonts w:hint="default" w:ascii="Times New Roman" w:hAnsi="Times New Roman" w:eastAsia="Times New Roman" w:cs="Times New Roman"/>
          <w:lang w:val="en-US" w:eastAsia="zh-CN"/>
        </w:rPr>
        <w:t xml:space="preserve">has been approved and the normative work in RAN1 starts from RAN1 #116. </w:t>
      </w:r>
      <w:r>
        <w:rPr>
          <w:rFonts w:ascii="Times New Roman" w:hAnsi="Times New Roman" w:eastAsia="Times New Roman" w:cs="Times New Roman"/>
          <w:lang w:val="en-US" w:eastAsia="zh-CN"/>
        </w:rPr>
        <w:t xml:space="preserve"> </w:t>
      </w:r>
    </w:p>
    <w:p>
      <w:pPr>
        <w:spacing w:after="120"/>
        <w:jc w:val="both"/>
        <w:rPr>
          <w:rFonts w:hint="default"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 xml:space="preserve">The objective agreed for </w:t>
      </w:r>
      <w:r>
        <w:rPr>
          <w:rFonts w:hint="default" w:eastAsia="Times New Roman" w:cs="Times New Roman"/>
          <w:lang w:val="en-US" w:eastAsia="zh-CN"/>
        </w:rPr>
        <w:t>common signal/channel adaptation</w:t>
      </w:r>
      <w:r>
        <w:rPr>
          <w:rFonts w:hint="default" w:ascii="Times New Roman" w:hAnsi="Times New Roman" w:eastAsia="Times New Roman" w:cs="Times New Roman"/>
          <w:lang w:val="en-US" w:eastAsia="zh-CN"/>
        </w:rPr>
        <w:t xml:space="preserve"> is as follows: </w:t>
      </w:r>
    </w:p>
    <w:p>
      <w:pPr>
        <w:numPr>
          <w:ilvl w:val="0"/>
          <w:numId w:val="4"/>
        </w:numPr>
        <w:spacing w:after="0"/>
        <w:ind w:leftChars="0"/>
        <w:rPr>
          <w:lang w:eastAsia="zh-CN"/>
        </w:rPr>
      </w:pPr>
      <w:r>
        <w:rPr>
          <w:lang w:eastAsia="zh-CN"/>
        </w:rPr>
        <w:t>Specify a</w:t>
      </w:r>
      <w:r>
        <w:t xml:space="preserve">daptation of common signal/channel transmissions. </w:t>
      </w:r>
      <w:r>
        <w:rPr>
          <w:lang w:eastAsia="zh-CN"/>
        </w:rPr>
        <w:t>[RAN1/2/3/4]</w:t>
      </w:r>
    </w:p>
    <w:p>
      <w:pPr>
        <w:numPr>
          <w:ilvl w:val="1"/>
          <w:numId w:val="5"/>
        </w:numPr>
        <w:spacing w:before="120" w:beforeLines="50" w:after="120" w:afterLines="50"/>
        <w:ind w:left="1049" w:hanging="329"/>
        <w:jc w:val="both"/>
        <w:rPr>
          <w:bCs/>
          <w:lang w:val="en-US" w:eastAsia="zh-CN"/>
        </w:rPr>
      </w:pPr>
      <w:r>
        <w:rPr>
          <w:bCs/>
          <w:lang w:val="en-US" w:eastAsia="zh-CN"/>
        </w:rPr>
        <w:t xml:space="preserve">Adaptation of SSB in time domain, e.g. adapting periodicity </w:t>
      </w:r>
    </w:p>
    <w:p>
      <w:pPr>
        <w:numPr>
          <w:ilvl w:val="1"/>
          <w:numId w:val="5"/>
        </w:numPr>
        <w:spacing w:before="120" w:beforeLines="50" w:after="120" w:afterLines="50"/>
        <w:ind w:left="1049" w:hanging="329"/>
        <w:jc w:val="both"/>
        <w:rPr>
          <w:lang w:eastAsia="zh-CN"/>
        </w:rPr>
      </w:pPr>
      <w:r>
        <w:t>Adaptation of PRACH in time domain</w:t>
      </w:r>
    </w:p>
    <w:p>
      <w:pPr>
        <w:numPr>
          <w:ilvl w:val="1"/>
          <w:numId w:val="5"/>
        </w:numPr>
        <w:spacing w:before="120" w:beforeLines="50" w:after="120" w:afterLines="50"/>
        <w:ind w:left="1049" w:hanging="329"/>
        <w:jc w:val="both"/>
        <w:rPr>
          <w:lang w:eastAsia="zh-CN"/>
        </w:rPr>
      </w:pPr>
      <w:r>
        <w:rPr>
          <w:color w:val="FF0000"/>
        </w:rPr>
        <w:t xml:space="preserve">Study </w:t>
      </w:r>
      <w:r>
        <w:t>adaptation of PRACH in spatial domain, e.g. non-uniform PRACH resources per SSB, and specify if found beneficial</w:t>
      </w:r>
    </w:p>
    <w:p>
      <w:pPr>
        <w:numPr>
          <w:ilvl w:val="2"/>
          <w:numId w:val="5"/>
        </w:numPr>
        <w:spacing w:before="120" w:beforeLines="50" w:after="120" w:afterLines="50"/>
        <w:jc w:val="both"/>
        <w:rPr>
          <w:lang w:eastAsia="zh-CN"/>
        </w:rPr>
      </w:pPr>
      <w:r>
        <w:t>This study is to be done in 2Q’2024 only</w:t>
      </w:r>
    </w:p>
    <w:p>
      <w:pPr>
        <w:numPr>
          <w:ilvl w:val="1"/>
          <w:numId w:val="5"/>
        </w:numPr>
        <w:spacing w:before="120" w:beforeLines="50" w:after="120" w:afterLines="50"/>
        <w:ind w:left="1049" w:hanging="329"/>
        <w:jc w:val="both"/>
        <w:rPr>
          <w:lang w:eastAsia="zh-CN"/>
        </w:rPr>
      </w:pPr>
      <w:r>
        <w:rPr>
          <w:lang w:eastAsia="zh-CN"/>
        </w:rPr>
        <w:t>Adaptation of paging occasions including confining the paging occasions in the time domain</w:t>
      </w:r>
    </w:p>
    <w:p>
      <w:pPr>
        <w:numPr>
          <w:ilvl w:val="2"/>
          <w:numId w:val="5"/>
        </w:numPr>
        <w:spacing w:before="120" w:beforeLines="50" w:after="120" w:afterLines="50"/>
        <w:jc w:val="both"/>
        <w:rPr>
          <w:lang w:eastAsia="zh-CN"/>
        </w:rPr>
      </w:pPr>
      <w:r>
        <w:rPr>
          <w:lang w:eastAsia="zh-CN"/>
        </w:rPr>
        <w:t>Note: there shall be no paging latency increase</w:t>
      </w:r>
    </w:p>
    <w:p>
      <w:pPr>
        <w:numPr>
          <w:ilvl w:val="1"/>
          <w:numId w:val="5"/>
        </w:numPr>
        <w:spacing w:before="120" w:beforeLines="50" w:after="120" w:afterLines="50"/>
        <w:ind w:left="1049" w:hanging="329"/>
        <w:jc w:val="both"/>
        <w:rPr>
          <w:lang w:eastAsia="zh-CN"/>
        </w:rPr>
      </w:pPr>
      <w:r>
        <w:rPr>
          <w:lang w:eastAsia="zh-CN"/>
        </w:rPr>
        <w:t xml:space="preserve">Note: there shall be no negative impact to legacy UEs, unless significant benefits are shown </w:t>
      </w:r>
    </w:p>
    <w:p>
      <w:pPr>
        <w:spacing w:after="120"/>
        <w:jc w:val="both"/>
        <w:rPr>
          <w:rFonts w:hint="default" w:eastAsia="Times New Roman" w:cs="Times New Roman"/>
          <w:lang w:val="en-US" w:eastAsia="zh-CN"/>
        </w:rPr>
      </w:pPr>
      <w:r>
        <w:rPr>
          <w:rFonts w:hint="default" w:eastAsia="Times New Roman" w:cs="Times New Roman"/>
          <w:lang w:val="en-US" w:eastAsia="zh-CN"/>
        </w:rPr>
        <w:t xml:space="preserve">In TR38.864 [2], the description of Technique A-1 summarizes the adaptation of common signals/channels: </w:t>
      </w:r>
    </w:p>
    <w:p>
      <w:pPr>
        <w:numPr>
          <w:ilvl w:val="0"/>
          <w:numId w:val="0"/>
        </w:numPr>
        <w:spacing w:before="120" w:beforeLines="50" w:after="120" w:afterLines="50"/>
        <w:ind w:left="400" w:leftChars="200" w:firstLine="0" w:firstLineChars="0"/>
        <w:jc w:val="both"/>
      </w:pPr>
      <w:r>
        <w:t xml:space="preserve">In Rel-15 NR, time-domain positions of transmitted SSBs within a half frame are semi-statically configured. Further, UE assumes a single periodicity for the transmitted SSBs. The transmission of common signal and channels or reception of random-access signals may limit the gNB ability to use (deeper) sleep modes to save energy. </w:t>
      </w:r>
      <w:r>
        <w:rPr>
          <w:rFonts w:cs="Times New Roman"/>
          <w:bCs/>
          <w:lang w:val="en-US" w:eastAsia="zh-CN"/>
        </w:rPr>
        <w:t>Currently</w:t>
      </w:r>
      <w:r>
        <w:t>, system information (SI) update mechanism can adapt the parameters in the cell, such as those associated with downlink common and broadcast signals, such as SSB/SI/paging/cell common PDCCH, and/or the periodicity/availability of uplink random access resources.</w:t>
      </w:r>
    </w:p>
    <w:p>
      <w:pPr>
        <w:ind w:left="400" w:leftChars="200" w:firstLine="0" w:firstLineChars="0"/>
      </w:pPr>
      <w:r>
        <w:t>Technique A-1 adapts the transmission pattern (when applicable) of downlink common and broadcast signals, such as SSB/SI/paging/cell common PDCCH, and/or the transmission pattern/availability of uplink random access opportunities. Adaptation of the transmission pattern includes changes to periodicity, time resource locations, and omitting of specific signals/channels. The transmission pattern can be adapted semi-statically or dynamically.</w:t>
      </w:r>
    </w:p>
    <w:p>
      <w:pPr>
        <w:spacing w:after="120"/>
        <w:jc w:val="both"/>
        <w:rPr>
          <w:rFonts w:hint="default" w:eastAsia="Times New Roman" w:cs="Times New Roman"/>
          <w:lang w:val="en-US" w:eastAsia="zh-CN"/>
        </w:rPr>
      </w:pPr>
      <w:r>
        <w:rPr>
          <w:rFonts w:ascii="Times New Roman" w:hAnsi="Times New Roman" w:eastAsia="Times New Roman" w:cs="Times New Roman"/>
          <w:lang w:val="en-US" w:eastAsia="zh-CN"/>
        </w:rPr>
        <w:t xml:space="preserve">In this contribution, we </w:t>
      </w:r>
      <w:r>
        <w:rPr>
          <w:rFonts w:hint="default" w:ascii="Times New Roman" w:hAnsi="Times New Roman" w:eastAsia="Times New Roman" w:cs="Times New Roman"/>
          <w:lang w:val="en-US" w:eastAsia="zh-CN"/>
        </w:rPr>
        <w:t>provide our</w:t>
      </w:r>
      <w:r>
        <w:rPr>
          <w:rFonts w:hint="default" w:eastAsia="Times New Roman" w:cs="Times New Roman"/>
          <w:lang w:val="en-US" w:eastAsia="zh-CN"/>
        </w:rPr>
        <w:t xml:space="preserve"> initial</w:t>
      </w:r>
      <w:r>
        <w:rPr>
          <w:rFonts w:hint="default" w:ascii="Times New Roman" w:hAnsi="Times New Roman" w:eastAsia="Times New Roman" w:cs="Times New Roman"/>
          <w:lang w:val="en-US" w:eastAsia="zh-CN"/>
        </w:rPr>
        <w:t xml:space="preserve"> consideration</w:t>
      </w:r>
      <w:r>
        <w:rPr>
          <w:rFonts w:hint="default" w:eastAsia="Times New Roman" w:cs="Times New Roman"/>
          <w:lang w:val="en-US" w:eastAsia="zh-CN"/>
        </w:rPr>
        <w:t xml:space="preserve">s on how these common signals/channels should be adapted and indicated to UEs. </w:t>
      </w:r>
    </w:p>
    <w:p>
      <w:pPr>
        <w:keepNext/>
        <w:keepLines/>
        <w:numPr>
          <w:ilvl w:val="0"/>
          <w:numId w:val="3"/>
        </w:numPr>
        <w:pBdr>
          <w:top w:val="single" w:color="auto" w:sz="12" w:space="3"/>
        </w:pBdr>
        <w:overflowPunct w:val="0"/>
        <w:autoSpaceDE w:val="0"/>
        <w:autoSpaceDN w:val="0"/>
        <w:adjustRightInd w:val="0"/>
        <w:spacing w:before="240" w:after="180"/>
        <w:jc w:val="both"/>
        <w:textAlignment w:val="baseline"/>
        <w:outlineLvl w:val="0"/>
        <w:rPr>
          <w:rFonts w:ascii="Times New Roman" w:hAnsi="Times New Roman" w:eastAsia="Malgun Gothic" w:cs="Times New Roman"/>
          <w:sz w:val="36"/>
          <w:szCs w:val="36"/>
          <w:lang w:val="en-US" w:eastAsia="zh-CN" w:bidi="ar-SA"/>
        </w:rPr>
      </w:pPr>
      <w:r>
        <w:rPr>
          <w:rFonts w:hint="default" w:ascii="Times New Roman" w:hAnsi="Times New Roman" w:eastAsia="Malgun Gothic" w:cs="Times New Roman"/>
          <w:sz w:val="36"/>
          <w:szCs w:val="36"/>
          <w:lang w:val="en-US" w:eastAsia="zh-CN" w:bidi="ar-SA"/>
        </w:rPr>
        <w:t xml:space="preserve"> </w:t>
      </w:r>
      <w:r>
        <w:rPr>
          <w:rFonts w:hint="default" w:eastAsia="Malgun Gothic" w:cs="Times New Roman"/>
          <w:sz w:val="36"/>
          <w:szCs w:val="36"/>
          <w:lang w:val="en-US" w:eastAsia="zh-CN" w:bidi="ar-SA"/>
        </w:rPr>
        <w:t>SSB adaptation</w:t>
      </w:r>
      <w:r>
        <w:rPr>
          <w:rFonts w:hint="default" w:eastAsia="Malgun Gothic" w:cs="Times New Roman"/>
          <w:sz w:val="36"/>
          <w:szCs w:val="36"/>
          <w:lang w:val="en-US" w:eastAsia="zh-CN" w:bidi="ar-SA"/>
        </w:rPr>
        <w:tab/>
      </w:r>
    </w:p>
    <w:p>
      <w:pPr>
        <w:bidi w:val="0"/>
        <w:rPr>
          <w:rFonts w:hint="default"/>
          <w:lang w:val="en-US" w:eastAsia="zh-CN"/>
        </w:rPr>
      </w:pPr>
      <w:r>
        <w:rPr>
          <w:rFonts w:hint="default"/>
          <w:lang w:val="en-US" w:eastAsia="zh-CN"/>
        </w:rPr>
        <w:t>In legacy NR, the SSB periodicity (</w:t>
      </w:r>
      <w:r>
        <w:rPr>
          <w:rFonts w:hint="default" w:ascii="Times New Roman Italic" w:hAnsi="Times New Roman Italic" w:cs="Times New Roman Italic"/>
          <w:i/>
          <w:iCs/>
        </w:rPr>
        <w:t>ssb-PeriodicityServingCell</w:t>
      </w:r>
      <w:r>
        <w:rPr>
          <w:rFonts w:hint="default"/>
          <w:lang w:val="en-US" w:eastAsia="zh-CN"/>
        </w:rPr>
        <w:t>) and actually transmitted SSB patterns (</w:t>
      </w:r>
      <w:r>
        <w:rPr>
          <w:rFonts w:hint="default" w:ascii="Times New Roman Italic" w:hAnsi="Times New Roman Italic" w:cs="Times New Roman Italic"/>
          <w:i/>
          <w:iCs/>
          <w:lang w:val="en-US" w:eastAsia="zh-CN"/>
        </w:rPr>
        <w:t>ssb-PositionsInBurst</w:t>
      </w:r>
      <w:r>
        <w:rPr>
          <w:rFonts w:hint="default"/>
          <w:lang w:val="en-US" w:eastAsia="zh-CN"/>
        </w:rPr>
        <w:t xml:space="preserve">) can be configured as in SIB1, SI update could enable SSB periodicity adaptation </w:t>
      </w:r>
      <w:r>
        <w:rPr>
          <w:rFonts w:hint="eastAsia"/>
          <w:lang w:val="en-US" w:eastAsia="zh-CN"/>
        </w:rPr>
        <w:t xml:space="preserve">for IDLE/INACTIVE </w:t>
      </w:r>
      <w:r>
        <w:rPr>
          <w:rFonts w:hint="default"/>
          <w:lang w:val="en-US" w:eastAsia="zh-CN"/>
        </w:rPr>
        <w:t xml:space="preserve">UEs but the adaptation only happens at the boundary of BCCH modification period adaptation. For CONNECTED UEs, the adaptation can already be supported by RRC signaling. </w:t>
      </w:r>
    </w:p>
    <w:p>
      <w:pPr>
        <w:bidi w:val="0"/>
        <w:rPr>
          <w:rFonts w:hint="default"/>
          <w:i w:val="0"/>
          <w:iCs/>
          <w:lang w:val="en-US" w:eastAsia="zh-CN"/>
        </w:rPr>
      </w:pPr>
      <w:r>
        <w:rPr>
          <w:rFonts w:hint="default"/>
          <w:lang w:val="en-US" w:eastAsia="zh-CN"/>
        </w:rPr>
        <w:t xml:space="preserve">The BCCH modification period coefficient </w:t>
      </w:r>
      <w:r>
        <w:rPr>
          <w:i/>
          <w:szCs w:val="22"/>
          <w:lang w:eastAsia="sv-SE"/>
        </w:rPr>
        <w:t>modificationPeriodCoeff</w:t>
      </w:r>
      <w:r>
        <w:rPr>
          <w:rFonts w:hint="default"/>
          <w:lang w:val="en-US" w:eastAsia="zh-CN"/>
        </w:rPr>
        <w:t xml:space="preserve"> is configured in </w:t>
      </w:r>
      <w:r>
        <w:rPr>
          <w:i/>
        </w:rPr>
        <w:t>DownlinkConfigCommonSIB</w:t>
      </w:r>
      <w:r>
        <w:rPr>
          <w:rFonts w:hint="default"/>
          <w:i/>
          <w:lang w:val="en-US"/>
        </w:rPr>
        <w:t xml:space="preserve">. </w:t>
      </w:r>
      <w:r>
        <w:rPr>
          <w:rFonts w:hint="default"/>
          <w:i w:val="0"/>
          <w:iCs/>
          <w:lang w:val="en-US"/>
        </w:rPr>
        <w:t xml:space="preserve">The actual modification period is expressed </w:t>
      </w:r>
      <w:r>
        <w:rPr>
          <w:szCs w:val="22"/>
          <w:lang w:eastAsia="sv-SE"/>
        </w:rPr>
        <w:t xml:space="preserve">in number of radio frames m = </w:t>
      </w:r>
      <w:r>
        <w:rPr>
          <w:i/>
          <w:szCs w:val="22"/>
          <w:lang w:eastAsia="sv-SE"/>
        </w:rPr>
        <w:t>modificationPeriodCoeff</w:t>
      </w:r>
      <w:r>
        <w:rPr>
          <w:szCs w:val="22"/>
          <w:lang w:eastAsia="sv-SE"/>
        </w:rPr>
        <w:t xml:space="preserve"> * </w:t>
      </w:r>
      <w:r>
        <w:rPr>
          <w:i/>
          <w:szCs w:val="22"/>
          <w:lang w:eastAsia="sv-SE"/>
        </w:rPr>
        <w:t>defaultPagingCycle</w:t>
      </w:r>
      <w:r>
        <w:rPr>
          <w:rFonts w:hint="default"/>
          <w:i/>
          <w:szCs w:val="22"/>
          <w:lang w:val="en-US" w:eastAsia="sv-SE"/>
        </w:rPr>
        <w:t>.</w:t>
      </w:r>
      <w:r>
        <w:rPr>
          <w:rFonts w:hint="default"/>
          <w:i w:val="0"/>
          <w:iCs/>
          <w:szCs w:val="22"/>
          <w:lang w:val="en-US" w:eastAsia="sv-SE"/>
        </w:rPr>
        <w:t xml:space="preserve"> The smallest Paging cycle is 32 radio frames and therefore, the BCCH modification modification period is at least 64 radio frames. </w:t>
      </w:r>
    </w:p>
    <w:p>
      <w:pPr>
        <w:pStyle w:val="49"/>
      </w:pPr>
      <w:r>
        <w:t xml:space="preserve">BCCH-Config ::=                 </w:t>
      </w:r>
      <w:r>
        <w:rPr>
          <w:color w:val="993366"/>
        </w:rPr>
        <w:t>SEQUENCE</w:t>
      </w:r>
      <w:r>
        <w:t xml:space="preserve"> {</w:t>
      </w:r>
    </w:p>
    <w:p>
      <w:pPr>
        <w:pStyle w:val="49"/>
      </w:pPr>
      <w:r>
        <w:t xml:space="preserve">    modificationPeriodCoeff         </w:t>
      </w:r>
      <w:r>
        <w:rPr>
          <w:color w:val="993366"/>
        </w:rPr>
        <w:t>ENUMERATED</w:t>
      </w:r>
      <w:r>
        <w:t xml:space="preserve"> {n2, n4, n8, n16},</w:t>
      </w:r>
    </w:p>
    <w:p>
      <w:pPr>
        <w:pStyle w:val="49"/>
      </w:pPr>
      <w:r>
        <w:t xml:space="preserve">    ...</w:t>
      </w:r>
    </w:p>
    <w:p>
      <w:pPr>
        <w:pStyle w:val="49"/>
      </w:pPr>
      <w:r>
        <w:t>}</w:t>
      </w:r>
    </w:p>
    <w:p>
      <w:pPr>
        <w:bidi w:val="0"/>
        <w:rPr>
          <w:rFonts w:hint="default"/>
          <w:lang w:val="en-US" w:eastAsia="zh-CN"/>
        </w:rPr>
      </w:pPr>
    </w:p>
    <w:p>
      <w:pPr>
        <w:pStyle w:val="49"/>
        <w:rPr>
          <w:rFonts w:hint="default"/>
          <w:i w:val="0"/>
          <w:iCs/>
          <w:szCs w:val="22"/>
          <w:lang w:val="en-US" w:eastAsia="sv-SE"/>
        </w:rPr>
      </w:pPr>
      <w:r>
        <w:t xml:space="preserve">PagingCycle ::=                     </w:t>
      </w:r>
      <w:r>
        <w:rPr>
          <w:color w:val="993366"/>
        </w:rPr>
        <w:t>ENUMERATED</w:t>
      </w:r>
      <w:r>
        <w:t xml:space="preserve"> {rf32, rf64, rf128, rf256}</w:t>
      </w:r>
    </w:p>
    <w:p>
      <w:pPr>
        <w:bidi w:val="0"/>
        <w:rPr>
          <w:rFonts w:hint="default"/>
          <w:lang w:val="en-US" w:eastAsia="sv-SE"/>
        </w:rPr>
      </w:pPr>
    </w:p>
    <w:p>
      <w:pPr>
        <w:bidi w:val="0"/>
        <w:rPr>
          <w:rFonts w:eastAsia="等线" w:cs="Times New Roman"/>
          <w:szCs w:val="20"/>
        </w:rPr>
      </w:pPr>
      <w:r>
        <w:rPr>
          <w:rFonts w:hint="default"/>
          <w:i w:val="0"/>
          <w:iCs/>
          <w:szCs w:val="22"/>
          <w:lang w:val="en-US" w:eastAsia="sv-SE"/>
        </w:rPr>
        <w:t>From TR38.864, it was identified the spec impact of technique A-1-3 configuration/adaptation of longer periodicity of SSB/SIB1 and/or uplink random access opportunities is</w:t>
      </w:r>
      <w:r>
        <w:rPr>
          <w:rFonts w:eastAsia="等线" w:cs="Times New Roman"/>
          <w:szCs w:val="20"/>
        </w:rPr>
        <w:t>:</w:t>
      </w:r>
    </w:p>
    <w:p>
      <w:pPr>
        <w:spacing w:after="180"/>
        <w:ind w:left="568" w:hanging="284"/>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signaling mechanism to inform the UE about the configuration/adaptation</w:t>
      </w:r>
    </w:p>
    <w:p>
      <w:pPr>
        <w:spacing w:after="180"/>
        <w:ind w:left="568" w:hanging="284"/>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adaption of common signals and channels may have impact on SI acquisition, initial access, RRM/RLM/BM measurements, and performance for legacy UEs and UEs that may not support the technique.</w:t>
      </w:r>
    </w:p>
    <w:p>
      <w:pPr>
        <w:numPr>
          <w:ilvl w:val="1"/>
          <w:numId w:val="0"/>
        </w:numPr>
        <w:tabs>
          <w:tab w:val="left" w:pos="576"/>
        </w:tabs>
        <w:bidi w:val="0"/>
        <w:spacing w:after="180"/>
        <w:ind w:leftChars="0"/>
        <w:rPr>
          <w:rFonts w:hint="default"/>
          <w:lang w:val="en-US" w:eastAsia="sv-SE"/>
        </w:rPr>
      </w:pPr>
      <w:r>
        <w:rPr>
          <w:rFonts w:hint="default" w:eastAsia="等线" w:cs="Times New Roman"/>
          <w:lang w:val="en-US" w:eastAsia="sv-SE" w:bidi="ar-SA"/>
        </w:rPr>
        <w:t xml:space="preserve">According to our understanding, the intention of SSB periodicity adaptation </w:t>
      </w:r>
      <w:r>
        <w:rPr>
          <w:rFonts w:hint="default"/>
          <w:lang w:val="en-US" w:eastAsia="sv-SE"/>
        </w:rPr>
        <w:t>is to enable faster adaptation of SSB periodicity than SI update. However, considering that SSB is crucial for legacy UEs including initial cell selection UEs, IDLE/INACTIVE UES and CONNECTED UEs. It needs to first understand or clarify the impact to those UEs.</w:t>
      </w:r>
    </w:p>
    <w:p>
      <w:pPr>
        <w:numPr>
          <w:ilvl w:val="0"/>
          <w:numId w:val="0"/>
        </w:numPr>
        <w:bidi w:val="0"/>
        <w:ind w:leftChars="0"/>
        <w:rPr>
          <w:rFonts w:hint="default"/>
          <w:lang w:val="en-US" w:eastAsia="zh-CN"/>
        </w:rPr>
      </w:pPr>
      <w:r>
        <w:rPr>
          <w:rFonts w:hint="default"/>
          <w:lang w:val="en-US" w:eastAsia="zh-CN"/>
        </w:rPr>
        <w:t>Within the BCCH period, when SSB periodicity is adapted, legacy CONNECTED UEs can be updated with RRC reconfiguration to obtain the adapted SSB periodicity. However, legacy IDLE/INACTIVE UEs still assume SSB periodicity is not changed within the current BCCH modification period. This may result in performance degradation for the R</w:t>
      </w:r>
      <w:r>
        <w:rPr>
          <w:rFonts w:hint="eastAsia" w:eastAsia="Malgun Gothic"/>
          <w:lang w:val="en-US" w:eastAsia="ko-KR"/>
        </w:rPr>
        <w:t xml:space="preserve">RM </w:t>
      </w:r>
      <w:r>
        <w:rPr>
          <w:rFonts w:hint="default"/>
          <w:lang w:val="en-US" w:eastAsia="zh-CN"/>
        </w:rPr>
        <w:t xml:space="preserve">measurement. Moreover, legacy UEs may not be able to complete initial access on this cell with SSB adaptation. </w:t>
      </w:r>
    </w:p>
    <w:p>
      <w:pPr>
        <w:numPr>
          <w:ilvl w:val="0"/>
          <w:numId w:val="0"/>
        </w:numPr>
        <w:bidi w:val="0"/>
        <w:ind w:leftChars="0"/>
        <w:rPr>
          <w:rFonts w:hint="default"/>
          <w:lang w:val="en-US" w:eastAsia="zh-CN"/>
        </w:rPr>
      </w:pPr>
      <w:r>
        <w:rPr>
          <w:rFonts w:hint="default"/>
          <w:lang w:val="en-US" w:eastAsia="zh-CN"/>
        </w:rPr>
        <w:t>Considering the impact to legacy UEs, it needs to be further discussed in RAN1 how to avoid those impacts For example,the cell allows SSB adaptation should bar all legacy UE to support new UEs only, or the adaptation is only applied to NCD-SSBs, to limit the impact on initial cell selection UEs.</w:t>
      </w:r>
    </w:p>
    <w:p>
      <w:pPr>
        <w:numPr>
          <w:ilvl w:val="-1"/>
          <w:numId w:val="0"/>
        </w:numPr>
        <w:bidi w:val="0"/>
        <w:spacing w:after="180"/>
        <w:ind w:left="0" w:leftChars="0" w:firstLine="0"/>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Proposal 1: Further discuss on solutions to avoid impact of SSB periodicity adaptation to legacy UEs, including where SSB adaptation is applied, to NCD-SSB or CD-SSB.</w:t>
      </w:r>
    </w:p>
    <w:p>
      <w:pPr>
        <w:pStyle w:val="3"/>
        <w:numPr>
          <w:ilvl w:val="1"/>
          <w:numId w:val="0"/>
        </w:numPr>
        <w:bidi w:val="0"/>
        <w:ind w:leftChars="0"/>
        <w:rPr>
          <w:rFonts w:hint="default" w:ascii="Times New Roman" w:hAnsi="Times New Roman" w:cs="Times New Roman"/>
          <w:b w:val="0"/>
          <w:bCs w:val="0"/>
          <w:i w:val="0"/>
          <w:iCs w:val="0"/>
          <w:lang w:val="en-US" w:eastAsia="sv-SE"/>
        </w:rPr>
      </w:pPr>
      <w:r>
        <w:rPr>
          <w:rFonts w:hint="default" w:ascii="Times New Roman" w:hAnsi="Times New Roman" w:cs="Times New Roman"/>
          <w:b w:val="0"/>
          <w:bCs w:val="0"/>
          <w:i w:val="0"/>
          <w:iCs w:val="0"/>
          <w:lang w:val="en-US" w:eastAsia="sv-SE"/>
        </w:rPr>
        <w:t>2.1 Signaling design</w:t>
      </w:r>
    </w:p>
    <w:p>
      <w:pPr>
        <w:bidi w:val="0"/>
        <w:rPr>
          <w:rFonts w:hint="default"/>
          <w:i w:val="0"/>
          <w:iCs/>
          <w:szCs w:val="22"/>
          <w:lang w:val="en-US" w:eastAsia="sv-SE"/>
        </w:rPr>
      </w:pPr>
      <w:r>
        <w:rPr>
          <w:rFonts w:hint="default"/>
          <w:i w:val="0"/>
          <w:iCs/>
          <w:szCs w:val="22"/>
          <w:lang w:val="en-US" w:eastAsia="sv-SE"/>
        </w:rPr>
        <w:t xml:space="preserve">Considering that RRC signaling can already be used ton indicate SSB adaptation to CONNECTED UEs, to extend the SSB adaptation to support both CONNECTED and IDLE/INACTIVE UEs, </w:t>
      </w:r>
      <w:r>
        <w:rPr>
          <w:rFonts w:hint="eastAsia"/>
          <w:i w:val="0"/>
          <w:iCs/>
          <w:szCs w:val="22"/>
          <w:lang w:val="en-US" w:eastAsia="zh-CN"/>
        </w:rPr>
        <w:t>i</w:t>
      </w:r>
      <w:r>
        <w:rPr>
          <w:rFonts w:hint="default"/>
          <w:i w:val="0"/>
          <w:iCs/>
          <w:szCs w:val="22"/>
          <w:lang w:val="en-US" w:eastAsia="sv-SE"/>
        </w:rPr>
        <w:t xml:space="preserve">t is proposed to consider the following alternatives for faster adaptation of SSB periodicity than BCCH modification: </w:t>
      </w:r>
    </w:p>
    <w:p>
      <w:pPr>
        <w:numPr>
          <w:ilvl w:val="0"/>
          <w:numId w:val="6"/>
        </w:numPr>
        <w:bidi w:val="0"/>
        <w:ind w:left="420" w:leftChars="0" w:hanging="420" w:firstLineChars="0"/>
        <w:rPr>
          <w:rFonts w:hint="default"/>
          <w:i w:val="0"/>
          <w:iCs/>
          <w:szCs w:val="22"/>
          <w:lang w:val="en-US" w:eastAsia="sv-SE"/>
        </w:rPr>
      </w:pPr>
      <w:r>
        <w:rPr>
          <w:rFonts w:hint="default"/>
          <w:i w:val="0"/>
          <w:iCs/>
          <w:szCs w:val="22"/>
          <w:lang w:val="en-US" w:eastAsia="sv-SE"/>
        </w:rPr>
        <w:t>Alt 1: Using Paging DCI or short Message to indicate common signal/channel adaptation</w:t>
      </w:r>
    </w:p>
    <w:p>
      <w:pPr>
        <w:bidi w:val="0"/>
        <w:ind w:left="400" w:leftChars="200" w:firstLine="0" w:firstLineChars="0"/>
        <w:rPr>
          <w:rFonts w:hint="default" w:ascii="Times New Roman" w:hAnsi="Times New Roman" w:cs="Times New Roman"/>
          <w:i w:val="0"/>
          <w:iCs/>
          <w:szCs w:val="22"/>
          <w:lang w:val="en-US" w:eastAsia="sv-SE"/>
        </w:rPr>
      </w:pPr>
      <w:r>
        <w:rPr>
          <w:rFonts w:hint="default" w:ascii="Times New Roman" w:hAnsi="Times New Roman" w:cs="Times New Roman"/>
          <w:i w:val="0"/>
          <w:iCs/>
          <w:szCs w:val="22"/>
          <w:lang w:val="en-US" w:eastAsia="sv-SE"/>
        </w:rPr>
        <w:t xml:space="preserve">Considering that Paging DCI is regularly monitored by IDLE/INACTIVE UEs, CONNECTED UEs can also monitor Paging DCI is there is PCCH configuration within the active BWP, Paging DCI or messages can be considered for the indication </w:t>
      </w:r>
      <w:r>
        <w:rPr>
          <w:rFonts w:hint="default" w:cs="Times New Roman"/>
          <w:i w:val="0"/>
          <w:iCs/>
          <w:szCs w:val="22"/>
          <w:lang w:val="en-US" w:eastAsia="sv-SE"/>
        </w:rPr>
        <w:t xml:space="preserve">of SSB adaptation. </w:t>
      </w:r>
    </w:p>
    <w:p>
      <w:pPr>
        <w:numPr>
          <w:ilvl w:val="0"/>
          <w:numId w:val="7"/>
        </w:numPr>
        <w:bidi w:val="0"/>
        <w:ind w:left="838" w:leftChars="0" w:hanging="418" w:firstLineChars="0"/>
        <w:rPr>
          <w:rFonts w:hint="default"/>
          <w:i w:val="0"/>
          <w:iCs/>
          <w:szCs w:val="22"/>
          <w:lang w:val="en-US" w:eastAsia="sv-SE"/>
        </w:rPr>
      </w:pPr>
      <w:r>
        <w:rPr>
          <w:rFonts w:hint="default"/>
          <w:i w:val="0"/>
          <w:iCs/>
          <w:szCs w:val="22"/>
          <w:lang w:val="en-US" w:eastAsia="sv-SE"/>
        </w:rPr>
        <w:t>Alt 1-1: Paging Short Message</w:t>
      </w:r>
    </w:p>
    <w:p>
      <w:pPr>
        <w:bidi w:val="0"/>
        <w:ind w:left="800" w:leftChars="400" w:firstLine="0" w:firstLineChars="0"/>
        <w:rPr>
          <w:rFonts w:hint="default"/>
          <w:i w:val="0"/>
          <w:iCs/>
          <w:szCs w:val="22"/>
          <w:lang w:val="en-US" w:eastAsia="sv-SE"/>
        </w:rPr>
      </w:pPr>
      <w:r>
        <w:rPr>
          <w:rFonts w:hint="default"/>
          <w:i w:val="0"/>
          <w:iCs/>
          <w:szCs w:val="22"/>
          <w:lang w:val="en-US" w:eastAsia="sv-SE"/>
        </w:rPr>
        <w:t xml:space="preserve">In legacy DCI format 1_0 with CRC scrmabled by P-RNTI, the Short Messages Indicator indicates that whether only short message is present in the DCI. The Short Message field in the DCI format can indicate systemInfoModification as well as some other uses cases. The reserved bits (5-8) could be considered to indicate the adapted SSB periodicity. </w:t>
      </w:r>
    </w:p>
    <w:p>
      <w:pPr>
        <w:numPr>
          <w:ilvl w:val="0"/>
          <w:numId w:val="7"/>
        </w:numPr>
        <w:bidi w:val="0"/>
        <w:ind w:left="838" w:leftChars="0" w:hanging="418" w:firstLineChars="0"/>
        <w:rPr>
          <w:rFonts w:hint="default" w:ascii="Times New Roman" w:hAnsi="Times New Roman" w:cs="Times New Roman"/>
          <w:i w:val="0"/>
          <w:iCs/>
          <w:szCs w:val="22"/>
          <w:lang w:val="en-US" w:eastAsia="sv-SE"/>
        </w:rPr>
      </w:pPr>
      <w:r>
        <w:rPr>
          <w:rFonts w:hint="default" w:ascii="Times New Roman" w:hAnsi="Times New Roman" w:cs="Times New Roman"/>
          <w:i w:val="0"/>
          <w:iCs/>
          <w:szCs w:val="22"/>
          <w:lang w:val="en-US" w:eastAsia="sv-SE"/>
        </w:rPr>
        <w:t>Alt 1-2: Paging DCI</w:t>
      </w:r>
    </w:p>
    <w:p>
      <w:pPr>
        <w:bidi w:val="0"/>
        <w:ind w:left="800" w:leftChars="400" w:firstLine="0" w:firstLineChars="0"/>
        <w:rPr>
          <w:rFonts w:hint="default"/>
          <w:i w:val="0"/>
          <w:iCs/>
          <w:szCs w:val="22"/>
          <w:lang w:val="en-US" w:eastAsia="sv-SE"/>
        </w:rPr>
      </w:pPr>
      <w:r>
        <w:rPr>
          <w:rFonts w:hint="default" w:ascii="Times New Roman" w:hAnsi="Times New Roman" w:cs="Times New Roman"/>
          <w:i w:val="0"/>
          <w:iCs/>
          <w:szCs w:val="22"/>
          <w:lang w:val="en-US" w:eastAsia="sv-SE"/>
        </w:rPr>
        <w:t>Another alternative is using the Paging DCI contents. When the reserved bit field “00” in Short Message Indicator is used, an existing field in Paging DCI could be reinterpreted (other than the Short Message field) to configure the adapted SSB periodicity. For this alternative, since there are more available bits, more values of adapted periodicity could supported.</w:t>
      </w:r>
      <w:r>
        <w:rPr>
          <w:rFonts w:hint="default"/>
          <w:i w:val="0"/>
          <w:iCs/>
          <w:szCs w:val="22"/>
          <w:lang w:val="en-US" w:eastAsia="sv-SE"/>
        </w:rPr>
        <w:t xml:space="preserve"> </w:t>
      </w:r>
    </w:p>
    <w:p>
      <w:pPr>
        <w:bidi w:val="0"/>
        <w:ind w:left="400" w:leftChars="200" w:firstLine="0" w:firstLineChars="0"/>
        <w:rPr>
          <w:rFonts w:hint="default"/>
          <w:i w:val="0"/>
          <w:iCs/>
          <w:szCs w:val="22"/>
          <w:lang w:val="en-US" w:eastAsia="sv-SE"/>
        </w:rPr>
      </w:pPr>
      <w:r>
        <w:rPr>
          <w:rFonts w:hint="default"/>
          <w:i w:val="0"/>
          <w:iCs/>
          <w:szCs w:val="22"/>
          <w:lang w:val="en-US" w:eastAsia="sv-SE"/>
        </w:rPr>
        <w:t xml:space="preserve">By using Paging indication, the spec impact would be smaller and does not increase UE PDCCH monitoring overhead since UE anyway would monitor Paging. However, since Paging is only for a group of UEs, the paging overhead to indicate such cell-specific SSB adaptation would be large, and the adaptation should follow the Paging cycle, which is still in hundreds of ms level. </w:t>
      </w:r>
    </w:p>
    <w:p>
      <w:pPr>
        <w:numPr>
          <w:ilvl w:val="0"/>
          <w:numId w:val="6"/>
        </w:numPr>
        <w:bidi w:val="0"/>
        <w:ind w:left="420" w:leftChars="0" w:hanging="420" w:firstLineChars="0"/>
        <w:rPr>
          <w:rFonts w:hint="default" w:ascii="Times New Roman" w:hAnsi="Times New Roman" w:cs="Times New Roman"/>
          <w:i w:val="0"/>
          <w:iCs/>
          <w:szCs w:val="22"/>
          <w:lang w:val="en-US" w:eastAsia="sv-SE"/>
        </w:rPr>
      </w:pPr>
      <w:r>
        <w:rPr>
          <w:rFonts w:hint="default" w:ascii="Times New Roman" w:hAnsi="Times New Roman" w:cs="Times New Roman"/>
          <w:i w:val="0"/>
          <w:iCs/>
          <w:szCs w:val="22"/>
          <w:lang w:val="en-US" w:eastAsia="sv-SE"/>
        </w:rPr>
        <w:t>Alt 2: Using legacy DCI with new RNTI or a new DCI format in CSS to indicate common signal/channel adaptation</w:t>
      </w:r>
    </w:p>
    <w:p>
      <w:pPr>
        <w:bidi w:val="0"/>
        <w:ind w:left="400" w:leftChars="200" w:firstLine="0" w:firstLineChars="0"/>
        <w:rPr>
          <w:rFonts w:hint="default"/>
          <w:i w:val="0"/>
          <w:iCs/>
          <w:szCs w:val="22"/>
          <w:lang w:val="en-US" w:eastAsia="zh-CN"/>
        </w:rPr>
      </w:pPr>
      <w:r>
        <w:rPr>
          <w:rFonts w:hint="default"/>
          <w:i w:val="0"/>
          <w:iCs/>
          <w:szCs w:val="22"/>
          <w:lang w:val="en-US" w:eastAsia="sv-SE"/>
        </w:rPr>
        <w:t>With this alternative, a faster monitoring than Paging DCI can be considered for both IDLE/INACTIVE and CONNECTED UEs. The options can be considered include DCI format 1_0 with a new RNTI, or DCI format 2_9 with a new RNTI, or a new DCI format with SI-RNTI, or a new RNTI. The DCI fields are (re)defined to indiciate the adapted SSB periodicity.</w:t>
      </w:r>
      <w:r>
        <w:rPr>
          <w:rFonts w:hint="default"/>
          <w:i w:val="0"/>
          <w:iCs/>
          <w:szCs w:val="22"/>
          <w:lang w:val="en-US" w:eastAsia="zh-CN"/>
        </w:rPr>
        <w:t xml:space="preserve"> </w:t>
      </w:r>
    </w:p>
    <w:p>
      <w:pPr>
        <w:bidi w:val="0"/>
        <w:ind w:left="400" w:leftChars="200" w:firstLine="0" w:firstLineChars="0"/>
        <w:rPr>
          <w:rFonts w:hint="default"/>
          <w:i w:val="0"/>
          <w:iCs/>
          <w:szCs w:val="22"/>
          <w:lang w:val="en-US" w:eastAsia="zh-CN"/>
        </w:rPr>
      </w:pPr>
      <w:r>
        <w:rPr>
          <w:rFonts w:hint="default"/>
          <w:i w:val="0"/>
          <w:iCs/>
          <w:szCs w:val="22"/>
          <w:lang w:val="en-US" w:eastAsia="zh-CN"/>
        </w:rPr>
        <w:t xml:space="preserve">The overhead could possibly be less than paging and the indication could be signaled in a faster way. However, the spec impact would be larger, especially considering UE monitoring complexity. </w:t>
      </w:r>
    </w:p>
    <w:p>
      <w:pPr>
        <w:bidi w:val="0"/>
        <w:rPr>
          <w:rFonts w:hint="default" w:ascii="Times New Roman Bold" w:hAnsi="Times New Roman Bold" w:cs="Times New Roman Bold"/>
          <w:b/>
          <w:bCs/>
          <w:i w:val="0"/>
          <w:iCs/>
          <w:szCs w:val="22"/>
          <w:lang w:val="en-US" w:eastAsia="zh-CN"/>
        </w:rPr>
      </w:pPr>
      <w:r>
        <w:rPr>
          <w:rFonts w:hint="default" w:ascii="Times New Roman Bold" w:hAnsi="Times New Roman Bold" w:cs="Times New Roman Bold"/>
          <w:b/>
          <w:bCs/>
          <w:i w:val="0"/>
          <w:iCs/>
          <w:szCs w:val="22"/>
          <w:lang w:val="en-US" w:eastAsia="zh-CN"/>
        </w:rPr>
        <w:t>Proposal 2: Support SSB periodicity adaptation within a BCCH modification period, via the following indication alternatives:</w:t>
      </w:r>
    </w:p>
    <w:p>
      <w:pPr>
        <w:numPr>
          <w:ilvl w:val="0"/>
          <w:numId w:val="8"/>
        </w:numPr>
        <w:bidi w:val="0"/>
        <w:ind w:left="420" w:leftChars="0" w:hanging="420" w:firstLineChars="0"/>
        <w:rPr>
          <w:rFonts w:hint="default" w:ascii="Times New Roman Bold" w:hAnsi="Times New Roman Bold" w:cs="Times New Roman Bold"/>
          <w:b/>
          <w:bCs/>
          <w:i w:val="0"/>
          <w:iCs/>
          <w:szCs w:val="22"/>
          <w:lang w:val="en-US" w:eastAsia="zh-CN"/>
        </w:rPr>
      </w:pPr>
      <w:r>
        <w:rPr>
          <w:rFonts w:hint="default" w:ascii="Times New Roman Bold" w:hAnsi="Times New Roman Bold" w:cs="Times New Roman Bold"/>
          <w:b/>
          <w:bCs/>
          <w:i w:val="0"/>
          <w:iCs/>
          <w:szCs w:val="22"/>
          <w:lang w:val="en-US" w:eastAsia="zh-CN"/>
        </w:rPr>
        <w:t>Paging Short Message</w:t>
      </w:r>
    </w:p>
    <w:p>
      <w:pPr>
        <w:numPr>
          <w:ilvl w:val="0"/>
          <w:numId w:val="8"/>
        </w:numPr>
        <w:bidi w:val="0"/>
        <w:ind w:left="420" w:leftChars="0" w:hanging="420" w:firstLineChars="0"/>
        <w:rPr>
          <w:rFonts w:hint="default" w:ascii="Times New Roman Bold" w:hAnsi="Times New Roman Bold" w:cs="Times New Roman Bold"/>
          <w:b/>
          <w:bCs/>
          <w:i w:val="0"/>
          <w:iCs/>
          <w:szCs w:val="22"/>
          <w:lang w:val="en-US" w:eastAsia="zh-CN"/>
        </w:rPr>
      </w:pPr>
      <w:r>
        <w:rPr>
          <w:rFonts w:hint="default" w:ascii="Times New Roman Bold" w:hAnsi="Times New Roman Bold" w:cs="Times New Roman Bold"/>
          <w:b/>
          <w:bCs/>
          <w:i w:val="0"/>
          <w:iCs/>
          <w:szCs w:val="22"/>
          <w:lang w:val="en-US" w:eastAsia="zh-CN"/>
        </w:rPr>
        <w:t>Paging DCI</w:t>
      </w:r>
    </w:p>
    <w:p>
      <w:pPr>
        <w:numPr>
          <w:ilvl w:val="0"/>
          <w:numId w:val="8"/>
        </w:numPr>
        <w:bidi w:val="0"/>
        <w:ind w:left="420" w:leftChars="0" w:hanging="420" w:firstLineChars="0"/>
        <w:rPr>
          <w:rFonts w:hint="default" w:ascii="Times New Roman Bold" w:hAnsi="Times New Roman Bold" w:cs="Times New Roman Bold"/>
          <w:b/>
          <w:bCs/>
          <w:i w:val="0"/>
          <w:iCs/>
          <w:szCs w:val="22"/>
          <w:lang w:val="en-US" w:eastAsia="zh-CN"/>
        </w:rPr>
      </w:pPr>
      <w:r>
        <w:rPr>
          <w:rFonts w:hint="default" w:ascii="Times New Roman Bold" w:hAnsi="Times New Roman Bold" w:cs="Times New Roman Bold"/>
          <w:b/>
          <w:bCs/>
          <w:i w:val="0"/>
          <w:iCs/>
          <w:szCs w:val="22"/>
          <w:lang w:val="en-US" w:eastAsia="zh-CN"/>
        </w:rPr>
        <w:t>Legacy DCI with new RNTI or a new DCI format in CSS</w:t>
      </w:r>
    </w:p>
    <w:p>
      <w:pPr>
        <w:pStyle w:val="3"/>
        <w:numPr>
          <w:ilvl w:val="1"/>
          <w:numId w:val="0"/>
        </w:numPr>
        <w:bidi w:val="0"/>
        <w:ind w:leftChars="0"/>
        <w:rPr>
          <w:rFonts w:hint="default" w:ascii="Times New Roman" w:hAnsi="Times New Roman" w:cs="Times New Roman"/>
          <w:b w:val="0"/>
          <w:bCs w:val="0"/>
          <w:i w:val="0"/>
          <w:iCs w:val="0"/>
          <w:lang w:val="en-US" w:eastAsia="sv-SE"/>
        </w:rPr>
      </w:pPr>
      <w:r>
        <w:rPr>
          <w:rFonts w:hint="default" w:ascii="Times New Roman" w:hAnsi="Times New Roman" w:cs="Times New Roman"/>
          <w:b w:val="0"/>
          <w:bCs w:val="0"/>
          <w:i w:val="0"/>
          <w:iCs w:val="0"/>
          <w:lang w:val="en-US" w:eastAsia="sv-SE"/>
        </w:rPr>
        <w:t xml:space="preserve">2.2 Effective time of adaptation </w:t>
      </w:r>
    </w:p>
    <w:p>
      <w:pPr>
        <w:bidi w:val="0"/>
        <w:rPr>
          <w:rFonts w:hint="default"/>
          <w:i w:val="0"/>
          <w:iCs/>
          <w:szCs w:val="22"/>
          <w:lang w:val="en-US" w:eastAsia="zh-CN"/>
        </w:rPr>
      </w:pPr>
      <w:r>
        <w:rPr>
          <w:rFonts w:hint="default"/>
          <w:i w:val="0"/>
          <w:iCs/>
          <w:szCs w:val="22"/>
          <w:lang w:val="en-US" w:eastAsia="zh-CN"/>
        </w:rPr>
        <w:t>For SSB adaptation, considering a typical case where the network originally transmit 20ms periodicity SSB and would like to adapt to a longer period, e.g. 80ms. After receiving the indication, the effective time of the change should be defined. To avoid mis-alignment between SSB periodicity and SFN, it is natural that the SSB periodicity adaptation takes effect at the boundary of next SFN satisfying (SFN mod T=0) where T is the adapted SSB periodicity.</w:t>
      </w:r>
    </w:p>
    <w:p>
      <w:pPr>
        <w:bidi w:val="0"/>
      </w:pPr>
      <w:r>
        <w:drawing>
          <wp:inline distT="0" distB="0" distL="114300" distR="114300">
            <wp:extent cx="5506720" cy="840105"/>
            <wp:effectExtent l="0" t="0" r="5080" b="2349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pic:cNvPicPr>
                      <a:picLocks noChangeAspect="1"/>
                    </pic:cNvPicPr>
                  </pic:nvPicPr>
                  <pic:blipFill>
                    <a:blip r:embed="rId5"/>
                    <a:stretch>
                      <a:fillRect/>
                    </a:stretch>
                  </pic:blipFill>
                  <pic:spPr>
                    <a:xfrm>
                      <a:off x="0" y="0"/>
                      <a:ext cx="5506720" cy="840105"/>
                    </a:xfrm>
                    <a:prstGeom prst="rect">
                      <a:avLst/>
                    </a:prstGeom>
                    <a:noFill/>
                    <a:ln>
                      <a:noFill/>
                    </a:ln>
                  </pic:spPr>
                </pic:pic>
              </a:graphicData>
            </a:graphic>
          </wp:inline>
        </w:drawing>
      </w:r>
    </w:p>
    <w:p>
      <w:pPr>
        <w:bidi w:val="0"/>
        <w:jc w:val="center"/>
        <w:rPr>
          <w:rFonts w:hint="default"/>
          <w:lang w:val="en-US"/>
        </w:rPr>
      </w:pPr>
      <w:r>
        <w:rPr>
          <w:rFonts w:hint="default"/>
          <w:lang w:val="en-US"/>
        </w:rPr>
        <w:t>Fig. 1 Adaptation of SSB periodicity occurs at the boundary of next SFN satisfying (SFN mod T=0)</w:t>
      </w:r>
    </w:p>
    <w:p>
      <w:pPr>
        <w:bidi w:val="0"/>
        <w:jc w:val="left"/>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3: The SSB periodicity adaptation occurs at the boundary of next SFN satisfying (SFN mod T=0) where T is the adapted SSB periodicity. </w:t>
      </w:r>
    </w:p>
    <w:p>
      <w:pPr>
        <w:keepNext/>
        <w:keepLines/>
        <w:numPr>
          <w:ilvl w:val="0"/>
          <w:numId w:val="3"/>
        </w:numPr>
        <w:pBdr>
          <w:top w:val="single" w:color="auto" w:sz="12" w:space="3"/>
        </w:pBdr>
        <w:overflowPunct w:val="0"/>
        <w:autoSpaceDE w:val="0"/>
        <w:autoSpaceDN w:val="0"/>
        <w:adjustRightInd w:val="0"/>
        <w:spacing w:before="240" w:after="180"/>
        <w:textAlignment w:val="baseline"/>
        <w:outlineLvl w:val="0"/>
        <w:rPr>
          <w:rFonts w:ascii="Times New Roman" w:hAnsi="Times New Roman" w:eastAsia="Malgun Gothic" w:cs="Times New Roman"/>
          <w:sz w:val="36"/>
          <w:szCs w:val="36"/>
          <w:lang w:val="en-US" w:eastAsia="zh-CN" w:bidi="ar-SA"/>
        </w:rPr>
      </w:pPr>
      <w:r>
        <w:rPr>
          <w:rFonts w:ascii="Times New Roman" w:hAnsi="Times New Roman" w:eastAsia="Malgun Gothic" w:cs="Times New Roman"/>
          <w:sz w:val="36"/>
          <w:szCs w:val="36"/>
          <w:lang w:val="en-US" w:eastAsia="zh-CN" w:bidi="ar-SA"/>
        </w:rPr>
        <w:t xml:space="preserve"> </w:t>
      </w:r>
      <w:r>
        <w:rPr>
          <w:rFonts w:hint="default" w:eastAsia="Malgun Gothic" w:cs="Times New Roman"/>
          <w:sz w:val="36"/>
          <w:szCs w:val="36"/>
          <w:lang w:val="en-US" w:eastAsia="zh-CN" w:bidi="ar-SA"/>
        </w:rPr>
        <w:t>PRACH adaptation</w:t>
      </w:r>
      <w:r>
        <w:rPr>
          <w:rFonts w:ascii="Times New Roman" w:hAnsi="Times New Roman" w:eastAsia="Malgun Gothic" w:cs="Times New Roman"/>
          <w:sz w:val="36"/>
          <w:szCs w:val="36"/>
          <w:lang w:val="en-US" w:eastAsia="zh-CN" w:bidi="ar-SA"/>
        </w:rPr>
        <w:t xml:space="preserve"> </w:t>
      </w:r>
    </w:p>
    <w:p>
      <w:pPr>
        <w:rPr>
          <w:rFonts w:hint="default"/>
          <w:lang w:val="en-US"/>
        </w:rPr>
      </w:pPr>
      <w:r>
        <w:rPr>
          <w:rFonts w:hint="default"/>
          <w:lang w:val="en-US"/>
        </w:rPr>
        <w:t xml:space="preserve">In legacy PRACH design, the time domain positions of PRACH occasions (ROs) are configured via 8 bit prach-ConfigurationIndex within RACH-ConfigGeneric, which is mapped to one row in </w:t>
      </w:r>
      <w:r>
        <w:t>Table 6.3.3.2</w:t>
      </w:r>
      <w:r>
        <w:rPr>
          <w:rFonts w:hint="default"/>
          <w:lang w:val="en-US"/>
        </w:rPr>
        <w:t xml:space="preserve"> in TS 38.211. </w:t>
      </w:r>
    </w:p>
    <w:tbl>
      <w:tblPr>
        <w:tblStyle w:val="12"/>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6"/>
        <w:gridCol w:w="1027"/>
        <w:gridCol w:w="1521"/>
        <w:gridCol w:w="1151"/>
        <w:gridCol w:w="897"/>
        <w:gridCol w:w="1027"/>
        <w:gridCol w:w="1097"/>
        <w:gridCol w:w="936"/>
      </w:tblGrid>
      <w:tr>
        <w:trPr>
          <w:jc w:val="center"/>
        </w:trPr>
        <w:tc>
          <w:tcPr>
            <w:tcW w:w="679" w:type="pct"/>
            <w:shd w:val="clear" w:color="auto" w:fill="auto"/>
          </w:tcPr>
          <w:p>
            <w:pPr>
              <w:pStyle w:val="50"/>
              <w:rPr>
                <w:rFonts w:eastAsia="Batang"/>
              </w:rPr>
            </w:pPr>
            <w:r>
              <w:rPr>
                <w:rFonts w:eastAsia="Batang"/>
              </w:rPr>
              <w:t>PRACH</w:t>
            </w:r>
            <w:r>
              <w:rPr>
                <w:rFonts w:eastAsia="Batang"/>
              </w:rPr>
              <w:br w:type="textWrapping"/>
            </w:r>
            <w:r>
              <w:rPr>
                <w:rFonts w:eastAsia="Batang"/>
              </w:rPr>
              <w:t xml:space="preserve">Configuration </w:t>
            </w:r>
            <w:r>
              <w:rPr>
                <w:rFonts w:eastAsia="Batang"/>
              </w:rPr>
              <w:br w:type="textWrapping"/>
            </w:r>
            <w:r>
              <w:rPr>
                <w:rFonts w:eastAsia="Batang"/>
              </w:rPr>
              <w:t>Index</w:t>
            </w:r>
          </w:p>
        </w:tc>
        <w:tc>
          <w:tcPr>
            <w:tcW w:w="500" w:type="pct"/>
            <w:shd w:val="clear" w:color="auto" w:fill="auto"/>
          </w:tcPr>
          <w:p>
            <w:pPr>
              <w:pStyle w:val="50"/>
              <w:rPr>
                <w:rFonts w:eastAsia="Batang"/>
              </w:rPr>
            </w:pPr>
            <w:r>
              <w:rPr>
                <w:rFonts w:eastAsia="Batang"/>
              </w:rPr>
              <w:t>Preamble format</w:t>
            </w:r>
          </w:p>
        </w:tc>
        <w:tc>
          <w:tcPr>
            <w:tcW w:w="741" w:type="pct"/>
            <w:tcBorders>
              <w:bottom w:val="single" w:color="auto" w:sz="4" w:space="0"/>
            </w:tcBorders>
            <w:shd w:val="clear" w:color="auto" w:fill="auto"/>
          </w:tcPr>
          <w:p>
            <w:pPr>
              <w:pStyle w:val="50"/>
              <w:rPr>
                <w:rFonts w:eastAsia="Batang"/>
              </w:rPr>
            </w:pPr>
            <w:r>
              <w:rPr>
                <w:rFonts w:eastAsia="Batang"/>
              </w:rPr>
              <w:drawing>
                <wp:inline distT="0" distB="0" distL="114300" distR="114300">
                  <wp:extent cx="828675" cy="190500"/>
                  <wp:effectExtent l="0" t="0" r="0" b="11430"/>
                  <wp:docPr id="9"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0"/>
                          <pic:cNvPicPr>
                            <a:picLocks noChangeAspect="1"/>
                          </pic:cNvPicPr>
                        </pic:nvPicPr>
                        <pic:blipFill>
                          <a:blip r:embed="rId6"/>
                          <a:stretch>
                            <a:fillRect/>
                          </a:stretch>
                        </pic:blipFill>
                        <pic:spPr>
                          <a:xfrm>
                            <a:off x="0" y="0"/>
                            <a:ext cx="828675" cy="190500"/>
                          </a:xfrm>
                          <a:prstGeom prst="rect">
                            <a:avLst/>
                          </a:prstGeom>
                          <a:noFill/>
                          <a:ln>
                            <a:noFill/>
                          </a:ln>
                        </pic:spPr>
                      </pic:pic>
                    </a:graphicData>
                  </a:graphic>
                </wp:inline>
              </w:drawing>
            </w:r>
          </w:p>
        </w:tc>
        <w:tc>
          <w:tcPr>
            <w:tcW w:w="1151" w:type="pct"/>
            <w:shd w:val="clear" w:color="auto" w:fill="auto"/>
          </w:tcPr>
          <w:p>
            <w:pPr>
              <w:pStyle w:val="50"/>
              <w:rPr>
                <w:rFonts w:eastAsia="Batang"/>
              </w:rPr>
            </w:pPr>
            <w:r>
              <w:rPr>
                <w:rFonts w:eastAsia="Batang"/>
              </w:rPr>
              <w:t>Subframe number</w:t>
            </w:r>
          </w:p>
        </w:tc>
        <w:tc>
          <w:tcPr>
            <w:tcW w:w="436" w:type="pct"/>
            <w:shd w:val="clear" w:color="auto" w:fill="auto"/>
          </w:tcPr>
          <w:p>
            <w:pPr>
              <w:pStyle w:val="50"/>
              <w:rPr>
                <w:rFonts w:eastAsia="Batang"/>
              </w:rPr>
            </w:pPr>
            <w:r>
              <w:rPr>
                <w:rFonts w:eastAsia="Batang"/>
              </w:rPr>
              <w:t>Starting symbol</w:t>
            </w:r>
          </w:p>
        </w:tc>
        <w:tc>
          <w:tcPr>
            <w:tcW w:w="500" w:type="pct"/>
          </w:tcPr>
          <w:p>
            <w:pPr>
              <w:pStyle w:val="50"/>
              <w:rPr>
                <w:rFonts w:eastAsia="Batang"/>
              </w:rPr>
            </w:pPr>
            <w:r>
              <w:rPr>
                <w:rFonts w:eastAsia="Batang"/>
              </w:rPr>
              <w:t>Number of PRACH slots within a subframe</w:t>
            </w:r>
          </w:p>
        </w:tc>
        <w:tc>
          <w:tcPr>
            <w:tcW w:w="534" w:type="pct"/>
          </w:tcPr>
          <w:p>
            <w:pPr>
              <w:pStyle w:val="50"/>
              <w:rPr>
                <w:rFonts w:eastAsia="Batang"/>
              </w:rPr>
            </w:pPr>
            <w:r>
              <w:rPr>
                <w:rFonts w:eastAsia="Batang"/>
              </w:rPr>
              <w:drawing>
                <wp:inline distT="0" distB="0" distL="114300" distR="114300">
                  <wp:extent cx="419100" cy="209550"/>
                  <wp:effectExtent l="0" t="0" r="12700" b="19685"/>
                  <wp:docPr id="1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1"/>
                          <pic:cNvPicPr>
                            <a:picLocks noChangeAspect="1"/>
                          </pic:cNvPicPr>
                        </pic:nvPicPr>
                        <pic:blipFill>
                          <a:blip r:embed="rId7"/>
                          <a:stretch>
                            <a:fillRect/>
                          </a:stretch>
                        </pic:blipFill>
                        <pic:spPr>
                          <a:xfrm>
                            <a:off x="0" y="0"/>
                            <a:ext cx="419100" cy="209550"/>
                          </a:xfrm>
                          <a:prstGeom prst="rect">
                            <a:avLst/>
                          </a:prstGeom>
                          <a:noFill/>
                          <a:ln>
                            <a:noFill/>
                          </a:ln>
                        </pic:spPr>
                      </pic:pic>
                    </a:graphicData>
                  </a:graphic>
                </wp:inline>
              </w:drawing>
            </w:r>
            <w:r>
              <w:rPr>
                <w:rFonts w:eastAsia="Batang"/>
              </w:rPr>
              <w:t>, number of time-domain PRACH occasions within a PRACH slot</w:t>
            </w:r>
          </w:p>
        </w:tc>
        <w:tc>
          <w:tcPr>
            <w:tcW w:w="455" w:type="pct"/>
          </w:tcPr>
          <w:p>
            <w:pPr>
              <w:pStyle w:val="50"/>
              <w:rPr>
                <w:rFonts w:eastAsia="Batang"/>
              </w:rPr>
            </w:pPr>
            <w:r>
              <w:rPr>
                <w:rFonts w:eastAsia="Batang"/>
              </w:rPr>
              <w:drawing>
                <wp:inline distT="0" distB="0" distL="114300" distR="114300">
                  <wp:extent cx="266700" cy="209550"/>
                  <wp:effectExtent l="0" t="0" r="0" b="19685"/>
                  <wp:docPr id="8"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2"/>
                          <pic:cNvPicPr>
                            <a:picLocks noChangeAspect="1"/>
                          </pic:cNvPicPr>
                        </pic:nvPicPr>
                        <pic:blipFill>
                          <a:blip r:embed="rId8"/>
                          <a:stretch>
                            <a:fillRect/>
                          </a:stretch>
                        </pic:blipFill>
                        <pic:spPr>
                          <a:xfrm>
                            <a:off x="0" y="0"/>
                            <a:ext cx="266700" cy="209550"/>
                          </a:xfrm>
                          <a:prstGeom prst="rect">
                            <a:avLst/>
                          </a:prstGeom>
                          <a:noFill/>
                          <a:ln>
                            <a:noFill/>
                          </a:ln>
                        </pic:spPr>
                      </pic:pic>
                    </a:graphicData>
                  </a:graphic>
                </wp:inline>
              </w:drawing>
            </w:r>
            <w:r>
              <w:rPr>
                <w:rFonts w:eastAsia="Batang"/>
              </w:rPr>
              <w:t>,</w:t>
            </w:r>
            <w:r>
              <w:rPr>
                <w:rFonts w:eastAsia="Batang"/>
              </w:rPr>
              <w:br w:type="textWrapping"/>
            </w:r>
            <w:r>
              <w:rPr>
                <w:rFonts w:eastAsia="Batang"/>
              </w:rPr>
              <w:t>PRACH duration</w:t>
            </w:r>
          </w:p>
        </w:tc>
      </w:tr>
    </w:tbl>
    <w:p>
      <w:pPr>
        <w:rPr>
          <w:rFonts w:hint="default"/>
          <w:lang w:val="en-US"/>
        </w:rPr>
      </w:pPr>
    </w:p>
    <w:p>
      <w:pPr>
        <w:rPr>
          <w:rFonts w:hint="default"/>
          <w:lang w:val="en-US"/>
        </w:rPr>
      </w:pPr>
      <w:r>
        <w:rPr>
          <w:rFonts w:hint="default"/>
          <w:lang w:val="en-US"/>
        </w:rPr>
        <w:t>Frequency domain positions of RO are configured via msg1-FDM (1,2,4,8) within RACH-ConfigGeneric.</w:t>
      </w:r>
    </w:p>
    <w:p>
      <w:pPr>
        <w:rPr>
          <w:rFonts w:hint="default"/>
          <w:lang w:val="en-US"/>
        </w:rPr>
      </w:pPr>
      <w:r>
        <w:rPr>
          <w:rFonts w:hint="default"/>
          <w:lang w:val="en-US"/>
        </w:rPr>
        <w:t xml:space="preserve">SS/PBCH block indexes are mapped to valid ROs in the order of preamble first, frequency second, time last. </w:t>
      </w:r>
    </w:p>
    <w:p>
      <w:pPr>
        <w:rPr>
          <w:rFonts w:hint="default"/>
          <w:lang w:val="en-US"/>
        </w:rPr>
      </w:pPr>
      <w:r>
        <w:rPr>
          <w:rFonts w:hint="default"/>
          <w:lang w:val="en-US"/>
        </w:rPr>
        <w:t>The adaptation of PRACH resources could also happen upon SI update, which are restricted to the resources configured in the PRACH configuration Tables. We discuss on more levels of PRACH adaptation in the following.</w:t>
      </w:r>
    </w:p>
    <w:p>
      <w:pPr>
        <w:pStyle w:val="3"/>
        <w:numPr>
          <w:ilvl w:val="1"/>
          <w:numId w:val="3"/>
        </w:numPr>
        <w:bidi w:val="0"/>
        <w:ind w:left="576" w:leftChars="0" w:hanging="576" w:firstLineChars="0"/>
        <w:rPr>
          <w:rFonts w:hint="default" w:ascii="Times New Roman" w:hAnsi="Times New Roman" w:cs="Times New Roman"/>
          <w:b w:val="0"/>
          <w:bCs w:val="0"/>
          <w:i w:val="0"/>
          <w:iCs w:val="0"/>
          <w:lang w:val="en-US" w:eastAsia="sv-SE"/>
        </w:rPr>
      </w:pPr>
      <w:r>
        <w:rPr>
          <w:rFonts w:hint="default" w:ascii="Times New Roman" w:hAnsi="Times New Roman" w:cs="Times New Roman"/>
          <w:b w:val="0"/>
          <w:bCs w:val="0"/>
          <w:i w:val="0"/>
          <w:iCs w:val="0"/>
          <w:lang w:val="en-US" w:eastAsia="sv-SE"/>
        </w:rPr>
        <w:t xml:space="preserve"> PRACH adaptation in time domain</w:t>
      </w:r>
    </w:p>
    <w:p>
      <w:pPr>
        <w:rPr>
          <w:rFonts w:hint="default" w:cs="Times New Roman"/>
          <w:b w:val="0"/>
          <w:bCs w:val="0"/>
          <w:i w:val="0"/>
          <w:iCs w:val="0"/>
          <w:lang w:val="en-US" w:eastAsia="sv-SE"/>
        </w:rPr>
      </w:pPr>
      <w:r>
        <w:rPr>
          <w:rFonts w:hint="default" w:cs="Times New Roman"/>
          <w:b w:val="0"/>
          <w:bCs w:val="0"/>
          <w:i w:val="0"/>
          <w:iCs w:val="0"/>
          <w:lang w:val="en-US" w:eastAsia="sv-SE"/>
        </w:rPr>
        <w:t>For PRACH resource in time domain, there are three periods defined:</w:t>
      </w:r>
    </w:p>
    <w:p>
      <w:pPr>
        <w:rPr>
          <w:rFonts w:hint="default" w:cs="Times New Roman"/>
          <w:b w:val="0"/>
          <w:bCs w:val="0"/>
          <w:i w:val="0"/>
          <w:iCs w:val="0"/>
          <w:lang w:val="en-US" w:eastAsia="sv-SE"/>
        </w:rPr>
      </w:pPr>
      <w:r>
        <w:rPr>
          <w:rFonts w:hint="default" w:cs="Times New Roman"/>
          <w:b w:val="0"/>
          <w:bCs w:val="0"/>
          <w:i w:val="0"/>
          <w:iCs w:val="0"/>
          <w:lang w:val="en-US" w:eastAsia="sv-SE"/>
        </w:rPr>
        <w:t xml:space="preserve">PRACH configuration period, is the repetition period of PRACH occasions that occur in time domain before considering validation and SSB association. </w:t>
      </w:r>
    </w:p>
    <w:p>
      <w:pPr>
        <w:rPr>
          <w:rFonts w:hint="default" w:cs="Times New Roman"/>
          <w:b w:val="0"/>
          <w:bCs w:val="0"/>
          <w:i w:val="0"/>
          <w:iCs w:val="0"/>
          <w:lang w:val="en-US" w:eastAsia="sv-SE"/>
        </w:rPr>
      </w:pPr>
      <w:r>
        <w:rPr>
          <w:rFonts w:hint="default" w:cs="Times New Roman"/>
          <w:b w:val="0"/>
          <w:bCs w:val="0"/>
          <w:i w:val="0"/>
          <w:iCs w:val="0"/>
          <w:lang w:val="en-US" w:eastAsia="sv-SE"/>
        </w:rPr>
        <w:t xml:space="preserve">PRACH association period, is the period of at least the SS/PBCH blocks are mapped once to the valid RO. </w:t>
      </w:r>
    </w:p>
    <w:p>
      <w:pPr>
        <w:rPr>
          <w:rFonts w:hint="default" w:cs="Times New Roman"/>
          <w:b w:val="0"/>
          <w:bCs w:val="0"/>
          <w:i w:val="0"/>
          <w:iCs w:val="0"/>
          <w:lang w:val="en-US" w:eastAsia="sv-SE"/>
        </w:rPr>
      </w:pPr>
      <w:r>
        <w:rPr>
          <w:rFonts w:hint="default" w:cs="Times New Roman"/>
          <w:b w:val="0"/>
          <w:bCs w:val="0"/>
          <w:i w:val="0"/>
          <w:iCs w:val="0"/>
          <w:lang w:val="en-US" w:eastAsia="sv-SE"/>
        </w:rPr>
        <w:t xml:space="preserve">PRACH association pattern period, is the period including one or more association periods that the mapping between SSB and ROs are repeated. </w:t>
      </w:r>
      <w:r>
        <w:rPr>
          <w:rFonts w:hint="default"/>
          <w:lang w:val="en-US"/>
        </w:rPr>
        <w:t xml:space="preserve">This is the largest repetition period considering the mapping of SSB to valid ROs, due to the possibility that the number of valid ROs may be different in different association period. </w:t>
      </w:r>
    </w:p>
    <w:p>
      <w:r>
        <w:drawing>
          <wp:inline distT="0" distB="0" distL="114300" distR="114300">
            <wp:extent cx="5603875" cy="1350645"/>
            <wp:effectExtent l="0" t="0" r="0" b="0"/>
            <wp:docPr id="1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4"/>
                    <pic:cNvPicPr>
                      <a:picLocks noChangeAspect="1"/>
                    </pic:cNvPicPr>
                  </pic:nvPicPr>
                  <pic:blipFill>
                    <a:blip r:embed="rId9"/>
                    <a:srcRect b="43386"/>
                    <a:stretch>
                      <a:fillRect/>
                    </a:stretch>
                  </pic:blipFill>
                  <pic:spPr>
                    <a:xfrm>
                      <a:off x="0" y="0"/>
                      <a:ext cx="5603875" cy="1350645"/>
                    </a:xfrm>
                    <a:prstGeom prst="rect">
                      <a:avLst/>
                    </a:prstGeom>
                    <a:noFill/>
                    <a:ln>
                      <a:noFill/>
                    </a:ln>
                  </pic:spPr>
                </pic:pic>
              </a:graphicData>
            </a:graphic>
          </wp:inline>
        </w:drawing>
      </w:r>
    </w:p>
    <w:p>
      <w:pPr>
        <w:jc w:val="center"/>
        <w:rPr>
          <w:rFonts w:hint="default"/>
          <w:lang w:val="en-US"/>
        </w:rPr>
      </w:pPr>
      <w:r>
        <w:rPr>
          <w:rFonts w:hint="default"/>
          <w:lang w:val="en-US"/>
        </w:rPr>
        <w:t>Fig. 2 PRACH configuration period, association period and association pattern period</w:t>
      </w:r>
    </w:p>
    <w:p>
      <w:pPr>
        <w:rPr>
          <w:rFonts w:hint="default"/>
          <w:lang w:val="en-US"/>
        </w:rPr>
      </w:pPr>
      <w:r>
        <w:rPr>
          <w:rFonts w:hint="default"/>
          <w:lang w:val="en-US"/>
        </w:rPr>
        <w:t xml:space="preserve">The adaptation of PRACH in time domain should be considered in the above three level period. </w:t>
      </w:r>
    </w:p>
    <w:p>
      <w:pPr>
        <w:numPr>
          <w:ilvl w:val="0"/>
          <w:numId w:val="9"/>
        </w:numPr>
        <w:ind w:left="420" w:leftChars="0" w:hanging="420" w:firstLineChars="0"/>
        <w:rPr>
          <w:rFonts w:hint="default"/>
          <w:lang w:val="en-US"/>
        </w:rPr>
      </w:pPr>
      <w:r>
        <w:rPr>
          <w:rFonts w:hint="default" w:ascii="Times New Roman Bold" w:hAnsi="Times New Roman Bold" w:cs="Times New Roman Bold"/>
          <w:b/>
          <w:bCs/>
          <w:lang w:val="en-US"/>
        </w:rPr>
        <w:t>Option 1</w:t>
      </w:r>
      <w:r>
        <w:rPr>
          <w:rFonts w:hint="default"/>
          <w:lang w:val="en-US"/>
        </w:rPr>
        <w:t xml:space="preserve">: PRACH configuration period level adaptation, where NW could indicate another row index of the PRACH configuration with larger periodicity and sparser RO allocation. However, this would result in SSB to RO mapping adaptation as well which cause some impact to legacy UE. Another option is that NW indicates which PRACH slots or frames are not valid by extending the RACH mask. This level of adaptation provides the most flexibility for gNB sleeping but may </w:t>
      </w:r>
    </w:p>
    <w:p>
      <w:pPr>
        <w:numPr>
          <w:ilvl w:val="0"/>
          <w:numId w:val="9"/>
        </w:numPr>
        <w:ind w:left="420" w:leftChars="0" w:hanging="420" w:firstLineChars="0"/>
        <w:rPr>
          <w:rFonts w:hint="default"/>
          <w:lang w:val="en-US"/>
        </w:rPr>
      </w:pPr>
      <w:r>
        <w:rPr>
          <w:rFonts w:hint="default" w:ascii="Times New Roman Bold" w:hAnsi="Times New Roman Bold" w:cs="Times New Roman Bold"/>
          <w:b/>
          <w:bCs/>
          <w:lang w:val="en-US"/>
        </w:rPr>
        <w:t>Option 2</w:t>
      </w:r>
      <w:r>
        <w:rPr>
          <w:rFonts w:hint="default"/>
          <w:lang w:val="en-US"/>
        </w:rPr>
        <w:t xml:space="preserve">: PRACH association period level adaptation, where the PRACH association period can be indicated to be not valid for the UE so that gNB could sleep for that association period. </w:t>
      </w:r>
    </w:p>
    <w:p>
      <w:pPr>
        <w:numPr>
          <w:ilvl w:val="0"/>
          <w:numId w:val="9"/>
        </w:numPr>
        <w:ind w:left="420" w:leftChars="0" w:hanging="420" w:firstLineChars="0"/>
        <w:rPr>
          <w:rFonts w:hint="default"/>
          <w:lang w:val="en-US"/>
        </w:rPr>
      </w:pPr>
      <w:r>
        <w:rPr>
          <w:rFonts w:hint="default" w:ascii="Times New Roman Bold" w:hAnsi="Times New Roman Bold" w:cs="Times New Roman Bold"/>
          <w:b/>
          <w:bCs/>
          <w:lang w:val="en-US"/>
        </w:rPr>
        <w:t>Option 3</w:t>
      </w:r>
      <w:r>
        <w:rPr>
          <w:rFonts w:hint="default"/>
          <w:lang w:val="en-US"/>
        </w:rPr>
        <w:t>: PRACH association pattern period level adaptation, where the PRACH association pattern period can be extended by invaliding certain periods. This level of adaptation enables longer time for gNB sleeping but leads to a larger random access latency.</w:t>
      </w:r>
    </w:p>
    <w:p>
      <w:pPr>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 xml:space="preserve">Proposal 4: Further discuss on the three levels of PRACH adaptation in time domain to be supported:  </w:t>
      </w:r>
    </w:p>
    <w:p>
      <w:pPr>
        <w:numPr>
          <w:ilvl w:val="0"/>
          <w:numId w:val="10"/>
        </w:numPr>
        <w:ind w:left="420" w:leftChars="0" w:hanging="420" w:firstLineChars="0"/>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Option 1: PRACH configuration period level adaptation</w:t>
      </w:r>
    </w:p>
    <w:p>
      <w:pPr>
        <w:numPr>
          <w:ilvl w:val="0"/>
          <w:numId w:val="10"/>
        </w:numPr>
        <w:ind w:left="420" w:leftChars="0" w:hanging="420" w:firstLineChars="0"/>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Option 2: PRACH association period level adaptation</w:t>
      </w:r>
    </w:p>
    <w:p>
      <w:pPr>
        <w:numPr>
          <w:ilvl w:val="0"/>
          <w:numId w:val="10"/>
        </w:numPr>
        <w:ind w:left="420" w:leftChars="0" w:hanging="420" w:firstLineChars="0"/>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 xml:space="preserve">Option 3: PRACH association pattern period level adaptation </w:t>
      </w:r>
    </w:p>
    <w:p>
      <w:pPr>
        <w:pStyle w:val="3"/>
        <w:numPr>
          <w:ilvl w:val="1"/>
          <w:numId w:val="3"/>
        </w:numPr>
        <w:bidi w:val="0"/>
        <w:ind w:left="576" w:leftChars="0" w:hanging="576" w:firstLineChars="0"/>
        <w:rPr>
          <w:rFonts w:hint="default" w:ascii="Times New Roman" w:hAnsi="Times New Roman" w:cs="Times New Roman"/>
          <w:b w:val="0"/>
          <w:bCs w:val="0"/>
          <w:i w:val="0"/>
          <w:iCs w:val="0"/>
          <w:lang w:val="en-US" w:eastAsia="sv-SE"/>
        </w:rPr>
      </w:pPr>
      <w:r>
        <w:rPr>
          <w:rFonts w:hint="default" w:ascii="Times New Roman" w:hAnsi="Times New Roman" w:cs="Times New Roman"/>
          <w:b w:val="0"/>
          <w:bCs w:val="0"/>
          <w:i w:val="0"/>
          <w:iCs w:val="0"/>
          <w:lang w:val="en-US" w:eastAsia="sv-SE"/>
        </w:rPr>
        <w:t xml:space="preserve"> PRACH adaptation in spatial domain  </w:t>
      </w:r>
    </w:p>
    <w:p>
      <w:pPr>
        <w:rPr>
          <w:rFonts w:hint="default"/>
          <w:lang w:val="en-US" w:eastAsia="sv-SE"/>
        </w:rPr>
      </w:pPr>
      <w:r>
        <w:rPr>
          <w:rFonts w:hint="default"/>
          <w:lang w:val="en-US" w:eastAsia="sv-SE"/>
        </w:rPr>
        <w:t xml:space="preserve">Due to non-uniform angular distribution of the UEs in the served geographical area, the probability of different beams are being selected can be different. For the PRACH resources, it means that for the ROs associated with the SSB that directs to a crowded angle, more UEs will be sending PRACH preambles on those ROs, for the ROs associated with SSBs that directs to a less crowded angle, fewer UEs will be sending PRACH. In current spec, the number of ROs and preamble that are associated with one SSB is uniformly distributed, which may not be well suited for situation.  </w:t>
      </w:r>
    </w:p>
    <w:p>
      <w:pPr>
        <w:rPr>
          <w:rFonts w:hint="default"/>
          <w:lang w:val="en-US" w:eastAsia="sv-SE"/>
        </w:rPr>
      </w:pPr>
      <w:r>
        <w:rPr>
          <w:rFonts w:hint="default"/>
          <w:lang w:val="en-US" w:eastAsia="sv-SE"/>
        </w:rPr>
        <w:t>Uneven RACH resource allocations can help to alleviate gNB detection complexity by reducing  the number of hypothesis tests which can result in network energy saving. Particularly for CBRA preambles as it requires consistent detection trials for CBRA preambles at every RO.</w:t>
      </w:r>
    </w:p>
    <w:p>
      <w:pPr>
        <w:rPr>
          <w:rFonts w:hint="default"/>
          <w:lang w:val="en-US" w:eastAsia="sv-SE"/>
        </w:rPr>
      </w:pPr>
      <w:r>
        <w:rPr>
          <w:rFonts w:hint="default"/>
          <w:lang w:val="en-US" w:eastAsia="sv-SE"/>
        </w:rPr>
        <w:t>There are also several levels of adaptation can be considered to support PRACH adaptation in spatial domain</w:t>
      </w:r>
    </w:p>
    <w:p>
      <w:pPr>
        <w:numPr>
          <w:ilvl w:val="0"/>
          <w:numId w:val="11"/>
        </w:numPr>
        <w:ind w:left="420" w:leftChars="0" w:hanging="420" w:firstLineChars="0"/>
        <w:rPr>
          <w:rFonts w:hint="default"/>
          <w:lang w:val="en-US" w:eastAsia="sv-SE"/>
        </w:rPr>
      </w:pPr>
      <w:r>
        <w:rPr>
          <w:rFonts w:hint="default" w:ascii="Times New Roman Bold" w:hAnsi="Times New Roman Bold" w:cs="Times New Roman Bold"/>
          <w:b/>
          <w:bCs/>
          <w:lang w:val="en-US" w:eastAsia="sv-SE"/>
        </w:rPr>
        <w:t>Option 1</w:t>
      </w:r>
      <w:r>
        <w:rPr>
          <w:rFonts w:hint="default"/>
          <w:lang w:val="en-US" w:eastAsia="sv-SE"/>
        </w:rPr>
        <w:t xml:space="preserve">: Adapt the number of SSBs that NW actually monitors corresponding RO, where the NW stops monitoring on ROs that are associated to SSBs that have fewer UEs. For example in Fig. 3, NW could completely stop monitoring ROs associated with SSB #2. </w:t>
      </w:r>
    </w:p>
    <w:p>
      <w:pPr>
        <w:jc w:val="center"/>
      </w:pPr>
      <w:r>
        <w:drawing>
          <wp:inline distT="0" distB="0" distL="114300" distR="114300">
            <wp:extent cx="5609590" cy="1242060"/>
            <wp:effectExtent l="0" t="0" r="3810" b="2540"/>
            <wp:docPr id="14"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6"/>
                    <pic:cNvPicPr>
                      <a:picLocks noChangeAspect="1"/>
                    </pic:cNvPicPr>
                  </pic:nvPicPr>
                  <pic:blipFill>
                    <a:blip r:embed="rId10"/>
                    <a:stretch>
                      <a:fillRect/>
                    </a:stretch>
                  </pic:blipFill>
                  <pic:spPr>
                    <a:xfrm>
                      <a:off x="0" y="0"/>
                      <a:ext cx="5609590" cy="1242060"/>
                    </a:xfrm>
                    <a:prstGeom prst="rect">
                      <a:avLst/>
                    </a:prstGeom>
                    <a:noFill/>
                    <a:ln>
                      <a:noFill/>
                    </a:ln>
                  </pic:spPr>
                </pic:pic>
              </a:graphicData>
            </a:graphic>
          </wp:inline>
        </w:drawing>
      </w:r>
    </w:p>
    <w:p>
      <w:pPr>
        <w:jc w:val="center"/>
        <w:rPr>
          <w:rFonts w:hint="default"/>
          <w:lang w:val="en-US" w:eastAsia="sv-SE"/>
        </w:rPr>
      </w:pPr>
      <w:r>
        <w:rPr>
          <w:rFonts w:hint="default"/>
          <w:lang w:val="en-US"/>
        </w:rPr>
        <w:t>Fig.3 Adapt number of SSBs that NW actually monitors corresponding RO</w:t>
      </w:r>
    </w:p>
    <w:p>
      <w:pPr>
        <w:numPr>
          <w:ilvl w:val="0"/>
          <w:numId w:val="11"/>
        </w:numPr>
        <w:ind w:left="420" w:leftChars="0" w:hanging="420" w:firstLineChars="0"/>
        <w:rPr>
          <w:rFonts w:hint="default"/>
          <w:lang w:val="en-US" w:eastAsia="sv-SE"/>
        </w:rPr>
      </w:pPr>
      <w:r>
        <w:rPr>
          <w:rFonts w:hint="default" w:ascii="Times New Roman Bold" w:hAnsi="Times New Roman Bold" w:cs="Times New Roman Bold"/>
          <w:b/>
          <w:bCs/>
          <w:lang w:val="en-US" w:eastAsia="sv-SE"/>
        </w:rPr>
        <w:t>Option 2</w:t>
      </w:r>
      <w:r>
        <w:rPr>
          <w:rFonts w:hint="default"/>
          <w:lang w:val="en-US" w:eastAsia="sv-SE"/>
        </w:rPr>
        <w:t xml:space="preserve">: Adapt the number of ROs per SSB, where the NW can configure uneven number of ROs associated with each SSB. For example in Fig. 4. the number of ROs associated with SSB #2 is reduced, so that NW could stop monitoring on some ROs for some SSBs. </w:t>
      </w:r>
    </w:p>
    <w:p>
      <w:r>
        <w:drawing>
          <wp:inline distT="0" distB="0" distL="114300" distR="114300">
            <wp:extent cx="5599430" cy="1088390"/>
            <wp:effectExtent l="0" t="0" r="13970" b="3810"/>
            <wp:docPr id="1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7"/>
                    <pic:cNvPicPr>
                      <a:picLocks noChangeAspect="1"/>
                    </pic:cNvPicPr>
                  </pic:nvPicPr>
                  <pic:blipFill>
                    <a:blip r:embed="rId11"/>
                    <a:stretch>
                      <a:fillRect/>
                    </a:stretch>
                  </pic:blipFill>
                  <pic:spPr>
                    <a:xfrm>
                      <a:off x="0" y="0"/>
                      <a:ext cx="5599430" cy="1088390"/>
                    </a:xfrm>
                    <a:prstGeom prst="rect">
                      <a:avLst/>
                    </a:prstGeom>
                    <a:noFill/>
                    <a:ln>
                      <a:noFill/>
                    </a:ln>
                  </pic:spPr>
                </pic:pic>
              </a:graphicData>
            </a:graphic>
          </wp:inline>
        </w:drawing>
      </w:r>
    </w:p>
    <w:p>
      <w:pPr>
        <w:jc w:val="center"/>
        <w:rPr>
          <w:rFonts w:hint="default"/>
          <w:lang w:val="en-US" w:eastAsia="sv-SE"/>
        </w:rPr>
      </w:pPr>
      <w:r>
        <w:rPr>
          <w:rFonts w:hint="default"/>
          <w:lang w:val="en-US"/>
        </w:rPr>
        <w:t>Fig.4 Adapt the number of ROs per SSB</w:t>
      </w:r>
    </w:p>
    <w:p>
      <w:pPr>
        <w:numPr>
          <w:ilvl w:val="0"/>
          <w:numId w:val="11"/>
        </w:numPr>
        <w:ind w:left="420" w:leftChars="0" w:hanging="420" w:firstLineChars="0"/>
        <w:rPr>
          <w:rFonts w:hint="default"/>
          <w:lang w:val="en-US" w:eastAsia="sv-SE"/>
        </w:rPr>
      </w:pPr>
      <w:r>
        <w:rPr>
          <w:rFonts w:hint="default" w:ascii="Times New Roman Bold" w:hAnsi="Times New Roman Bold" w:cs="Times New Roman Bold"/>
          <w:b/>
          <w:bCs/>
          <w:lang w:val="en-US" w:eastAsia="sv-SE"/>
        </w:rPr>
        <w:t>Option 3</w:t>
      </w:r>
      <w:r>
        <w:rPr>
          <w:rFonts w:hint="default"/>
          <w:lang w:val="en-US" w:eastAsia="sv-SE"/>
        </w:rPr>
        <w:t>: Adapt the number of preambles per RO per SSB, where the NW can configure uneven  number of preamble associated with each SSB. For example in Fig.5, the number of preambles on each RO associated with SSB #2 is reduced, so that the NW hypothesis on this ROs could be reduced to save gNB computation complexity.</w:t>
      </w:r>
    </w:p>
    <w:p>
      <w:r>
        <w:drawing>
          <wp:inline distT="0" distB="0" distL="114300" distR="114300">
            <wp:extent cx="5598160" cy="1082040"/>
            <wp:effectExtent l="0" t="0" r="15240" b="10160"/>
            <wp:docPr id="1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30"/>
                    <pic:cNvPicPr>
                      <a:picLocks noChangeAspect="1"/>
                    </pic:cNvPicPr>
                  </pic:nvPicPr>
                  <pic:blipFill>
                    <a:blip r:embed="rId12"/>
                    <a:stretch>
                      <a:fillRect/>
                    </a:stretch>
                  </pic:blipFill>
                  <pic:spPr>
                    <a:xfrm>
                      <a:off x="0" y="0"/>
                      <a:ext cx="5598160" cy="1082040"/>
                    </a:xfrm>
                    <a:prstGeom prst="rect">
                      <a:avLst/>
                    </a:prstGeom>
                    <a:noFill/>
                    <a:ln>
                      <a:noFill/>
                    </a:ln>
                  </pic:spPr>
                </pic:pic>
              </a:graphicData>
            </a:graphic>
          </wp:inline>
        </w:drawing>
      </w:r>
    </w:p>
    <w:p>
      <w:pPr>
        <w:jc w:val="center"/>
        <w:rPr>
          <w:rFonts w:hint="default"/>
          <w:lang w:val="en-US" w:eastAsia="sv-SE"/>
        </w:rPr>
      </w:pPr>
      <w:r>
        <w:rPr>
          <w:rFonts w:hint="default"/>
          <w:lang w:val="en-US"/>
        </w:rPr>
        <w:t>Fig.5 Adapt the number of preambles per RO per SSB</w:t>
      </w:r>
    </w:p>
    <w:p>
      <w:pPr>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 xml:space="preserve">Proposal 5: PRACH adaptation in spatial domain can be supported via the following options: </w:t>
      </w:r>
    </w:p>
    <w:p>
      <w:pPr>
        <w:numPr>
          <w:ilvl w:val="0"/>
          <w:numId w:val="12"/>
        </w:numPr>
        <w:ind w:left="420" w:leftChars="0" w:hanging="420" w:firstLineChars="0"/>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 xml:space="preserve">Option 1: Adapt the number of SSBs that NW actually monitors corresponding RO </w:t>
      </w:r>
    </w:p>
    <w:p>
      <w:pPr>
        <w:numPr>
          <w:ilvl w:val="0"/>
          <w:numId w:val="12"/>
        </w:numPr>
        <w:ind w:left="420" w:leftChars="0" w:hanging="420" w:firstLineChars="0"/>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Option 2: Adapt uneven number of ROs per SSB</w:t>
      </w:r>
    </w:p>
    <w:p>
      <w:pPr>
        <w:numPr>
          <w:ilvl w:val="0"/>
          <w:numId w:val="12"/>
        </w:numPr>
        <w:ind w:left="420" w:leftChars="0" w:hanging="420" w:firstLineChars="0"/>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Option 3: Adapt uneven number of preambles per RO per SSB</w:t>
      </w:r>
    </w:p>
    <w:p>
      <w:pPr>
        <w:keepNext/>
        <w:keepLines/>
        <w:numPr>
          <w:ilvl w:val="0"/>
          <w:numId w:val="3"/>
        </w:numPr>
        <w:pBdr>
          <w:top w:val="single" w:color="auto" w:sz="12" w:space="3"/>
        </w:pBdr>
        <w:overflowPunct w:val="0"/>
        <w:autoSpaceDE w:val="0"/>
        <w:autoSpaceDN w:val="0"/>
        <w:adjustRightInd w:val="0"/>
        <w:spacing w:before="240" w:after="180"/>
        <w:textAlignment w:val="baseline"/>
        <w:outlineLvl w:val="0"/>
        <w:rPr>
          <w:rFonts w:ascii="Times New Roman" w:hAnsi="Times New Roman" w:eastAsia="Malgun Gothic" w:cs="Times New Roman"/>
          <w:sz w:val="36"/>
          <w:szCs w:val="36"/>
          <w:lang w:val="en-US" w:eastAsia="zh-CN" w:bidi="ar-SA"/>
        </w:rPr>
      </w:pPr>
      <w:r>
        <w:rPr>
          <w:rFonts w:ascii="Times New Roman" w:hAnsi="Times New Roman" w:eastAsia="Malgun Gothic" w:cs="Times New Roman"/>
          <w:sz w:val="36"/>
          <w:szCs w:val="36"/>
          <w:lang w:val="en-US" w:eastAsia="zh-CN" w:bidi="ar-SA"/>
        </w:rPr>
        <w:t xml:space="preserve"> </w:t>
      </w:r>
      <w:r>
        <w:rPr>
          <w:rFonts w:hint="default" w:eastAsia="Malgun Gothic" w:cs="Times New Roman"/>
          <w:sz w:val="36"/>
          <w:szCs w:val="36"/>
          <w:lang w:val="en-US" w:eastAsia="zh-CN" w:bidi="ar-SA"/>
        </w:rPr>
        <w:t>Paging adaptation</w:t>
      </w:r>
      <w:r>
        <w:rPr>
          <w:rFonts w:ascii="Times New Roman" w:hAnsi="Times New Roman" w:eastAsia="Malgun Gothic" w:cs="Times New Roman"/>
          <w:sz w:val="36"/>
          <w:szCs w:val="36"/>
          <w:lang w:val="en-US" w:eastAsia="zh-CN" w:bidi="ar-SA"/>
        </w:rPr>
        <w:t xml:space="preserve"> </w:t>
      </w:r>
    </w:p>
    <w:p>
      <w:pPr>
        <w:rPr>
          <w:rFonts w:hint="default"/>
          <w:lang w:val="en-US"/>
        </w:rPr>
      </w:pPr>
      <w:r>
        <w:rPr>
          <w:rFonts w:hint="default"/>
          <w:lang w:val="en-US"/>
        </w:rPr>
        <w:t xml:space="preserve">In legacy NR design, paging configuration is configured in </w:t>
      </w:r>
      <w:r>
        <w:rPr>
          <w:rFonts w:hint="default" w:ascii="Times New Roman Italic" w:hAnsi="Times New Roman Italic" w:cs="Times New Roman Italic"/>
          <w:i/>
          <w:iCs/>
          <w:lang w:val="en-US"/>
        </w:rPr>
        <w:t xml:space="preserve">PCCH-Config </w:t>
      </w:r>
      <w:r>
        <w:rPr>
          <w:rFonts w:hint="default"/>
          <w:lang w:val="en-US"/>
        </w:rPr>
        <w:t>in SIB1.</w:t>
      </w:r>
    </w:p>
    <w:p>
      <w:pPr>
        <w:pStyle w:val="49"/>
      </w:pPr>
      <w:r>
        <w:t xml:space="preserve">PCCH-Config ::=             </w:t>
      </w:r>
      <w:r>
        <w:rPr>
          <w:color w:val="993366"/>
        </w:rPr>
        <w:t>SEQUENCE</w:t>
      </w:r>
      <w:r>
        <w:t xml:space="preserve"> {</w:t>
      </w:r>
    </w:p>
    <w:p>
      <w:pPr>
        <w:pStyle w:val="49"/>
      </w:pPr>
      <w:r>
        <w:t xml:space="preserve">    defaultPagingCycle                  PagingCycle,</w:t>
      </w:r>
    </w:p>
    <w:p>
      <w:pPr>
        <w:pStyle w:val="49"/>
      </w:pPr>
      <w:r>
        <w:t xml:space="preserve">    nAndPagingFrameOffset               </w:t>
      </w:r>
      <w:r>
        <w:rPr>
          <w:color w:val="993366"/>
        </w:rPr>
        <w:t>CHOICE</w:t>
      </w:r>
      <w:r>
        <w:t xml:space="preserve"> {</w:t>
      </w:r>
    </w:p>
    <w:p>
      <w:pPr>
        <w:pStyle w:val="49"/>
      </w:pPr>
      <w:r>
        <w:t xml:space="preserve">        oneT                                </w:t>
      </w:r>
      <w:r>
        <w:rPr>
          <w:color w:val="993366"/>
        </w:rPr>
        <w:t>NULL</w:t>
      </w:r>
      <w:r>
        <w:t>,</w:t>
      </w:r>
    </w:p>
    <w:p>
      <w:pPr>
        <w:pStyle w:val="49"/>
      </w:pPr>
      <w:r>
        <w:t xml:space="preserve">        halfT                               </w:t>
      </w:r>
      <w:r>
        <w:rPr>
          <w:color w:val="993366"/>
        </w:rPr>
        <w:t>INTEGER</w:t>
      </w:r>
      <w:r>
        <w:t xml:space="preserve"> (0..1),</w:t>
      </w:r>
    </w:p>
    <w:p>
      <w:pPr>
        <w:pStyle w:val="49"/>
      </w:pPr>
      <w:r>
        <w:t xml:space="preserve">        quarterT                            </w:t>
      </w:r>
      <w:r>
        <w:rPr>
          <w:color w:val="993366"/>
        </w:rPr>
        <w:t>INTEGER</w:t>
      </w:r>
      <w:r>
        <w:t xml:space="preserve"> (0..3),</w:t>
      </w:r>
    </w:p>
    <w:p>
      <w:pPr>
        <w:pStyle w:val="49"/>
      </w:pPr>
      <w:r>
        <w:t xml:space="preserve">        oneEighthT                          </w:t>
      </w:r>
      <w:r>
        <w:rPr>
          <w:color w:val="993366"/>
        </w:rPr>
        <w:t>INTEGER</w:t>
      </w:r>
      <w:r>
        <w:t xml:space="preserve"> (0..7),</w:t>
      </w:r>
    </w:p>
    <w:p>
      <w:pPr>
        <w:pStyle w:val="49"/>
      </w:pPr>
      <w:r>
        <w:t xml:space="preserve">        oneSixteenthT                       </w:t>
      </w:r>
      <w:r>
        <w:rPr>
          <w:color w:val="993366"/>
        </w:rPr>
        <w:t>INTEGER</w:t>
      </w:r>
      <w:r>
        <w:t xml:space="preserve"> (0..15)</w:t>
      </w:r>
    </w:p>
    <w:p>
      <w:pPr>
        <w:pStyle w:val="49"/>
      </w:pPr>
      <w:r>
        <w:t xml:space="preserve">    },</w:t>
      </w:r>
    </w:p>
    <w:p>
      <w:pPr>
        <w:pStyle w:val="49"/>
      </w:pPr>
      <w:r>
        <w:t xml:space="preserve">    ns                                  </w:t>
      </w:r>
      <w:r>
        <w:rPr>
          <w:color w:val="993366"/>
        </w:rPr>
        <w:t>ENUMERATED</w:t>
      </w:r>
      <w:r>
        <w:t xml:space="preserve"> {four, two, one},</w:t>
      </w:r>
    </w:p>
    <w:p>
      <w:pPr>
        <w:rPr>
          <w:rFonts w:hint="default"/>
          <w:lang w:val="en-US"/>
        </w:rPr>
      </w:pPr>
      <w:r>
        <w:rPr>
          <w:rFonts w:hint="default"/>
          <w:lang w:val="en-US"/>
        </w:rPr>
        <w:t>The PF and PO for paging are determined by the following formulae:</w:t>
      </w:r>
    </w:p>
    <w:p>
      <w:pPr>
        <w:ind w:firstLine="799" w:firstLineChars="0"/>
        <w:rPr>
          <w:rFonts w:hint="default"/>
          <w:lang w:val="en-US"/>
        </w:rPr>
      </w:pPr>
      <w:r>
        <w:rPr>
          <w:rFonts w:hint="default"/>
          <w:lang w:val="en-US"/>
        </w:rPr>
        <w:t>SFN for the PF is determined by:</w:t>
      </w:r>
    </w:p>
    <w:p>
      <w:pPr>
        <w:ind w:left="799" w:leftChars="0" w:firstLine="799" w:firstLineChars="0"/>
        <w:rPr>
          <w:rFonts w:hint="default"/>
          <w:lang w:val="en-US"/>
        </w:rPr>
      </w:pPr>
      <w:r>
        <w:rPr>
          <w:rFonts w:hint="default"/>
          <w:lang w:val="en-US"/>
        </w:rPr>
        <w:t>(SFN + PF_offset) mod T = (T div N)*(UE_ID mod N)</w:t>
      </w:r>
    </w:p>
    <w:p>
      <w:pPr>
        <w:ind w:firstLine="799" w:firstLineChars="0"/>
        <w:rPr>
          <w:rFonts w:hint="default"/>
          <w:lang w:val="en-US"/>
        </w:rPr>
      </w:pPr>
      <w:r>
        <w:rPr>
          <w:rFonts w:hint="default"/>
          <w:lang w:val="en-US"/>
        </w:rPr>
        <w:t>Index (i_s), indicating the index of the PO is determined by:</w:t>
      </w:r>
    </w:p>
    <w:p>
      <w:pPr>
        <w:ind w:left="799" w:leftChars="0" w:firstLine="799" w:firstLineChars="0"/>
        <w:rPr>
          <w:rFonts w:hint="default"/>
          <w:lang w:val="en-US"/>
        </w:rPr>
      </w:pPr>
      <w:r>
        <w:rPr>
          <w:rFonts w:hint="default"/>
          <w:lang w:val="en-US"/>
        </w:rPr>
        <w:t>i_s = floor (UE_ID/N) mod Ns</w:t>
      </w:r>
    </w:p>
    <w:p>
      <w:r>
        <w:rPr>
          <w:rFonts w:hint="default"/>
          <w:lang w:val="en-US"/>
        </w:rPr>
        <w:t>where t</w:t>
      </w:r>
      <w:r>
        <w:t>he following parameters are used for the calculation of PF and i_s above:</w:t>
      </w:r>
    </w:p>
    <w:p>
      <w:pPr>
        <w:ind w:firstLine="799" w:firstLineChars="0"/>
        <w:rPr>
          <w:rFonts w:hint="default"/>
          <w:lang w:val="en-US"/>
        </w:rPr>
      </w:pPr>
      <w:r>
        <w:rPr>
          <w:rFonts w:hint="default"/>
          <w:lang w:val="en-US"/>
        </w:rPr>
        <w:t>T: DRX cycle of the UE.</w:t>
      </w:r>
    </w:p>
    <w:p>
      <w:pPr>
        <w:ind w:firstLine="799" w:firstLineChars="0"/>
        <w:rPr>
          <w:rFonts w:hint="default"/>
          <w:lang w:val="en-US" w:eastAsia="ko-KR"/>
        </w:rPr>
      </w:pPr>
      <w:r>
        <w:rPr>
          <w:rFonts w:hint="default"/>
          <w:lang w:val="en-US"/>
        </w:rPr>
        <w:t xml:space="preserve">N: number of total paging </w:t>
      </w:r>
      <w:r>
        <w:rPr>
          <w:rFonts w:hint="default"/>
          <w:lang w:val="en-US" w:eastAsia="ko-KR"/>
        </w:rPr>
        <w:t>frames</w:t>
      </w:r>
      <w:r>
        <w:rPr>
          <w:rFonts w:hint="default"/>
          <w:lang w:val="en-US"/>
        </w:rPr>
        <w:t xml:space="preserve"> in T</w:t>
      </w:r>
    </w:p>
    <w:p>
      <w:pPr>
        <w:ind w:firstLine="799" w:firstLineChars="0"/>
        <w:rPr>
          <w:rFonts w:hint="default"/>
          <w:lang w:val="en-US" w:eastAsia="zh-CN"/>
        </w:rPr>
      </w:pPr>
      <w:r>
        <w:rPr>
          <w:rFonts w:hint="default"/>
          <w:lang w:val="en-US" w:eastAsia="ko-KR"/>
        </w:rPr>
        <w:t xml:space="preserve">Ns: number of paging </w:t>
      </w:r>
      <w:r>
        <w:rPr>
          <w:rFonts w:hint="default"/>
          <w:lang w:val="en-US"/>
        </w:rPr>
        <w:t xml:space="preserve">occasions </w:t>
      </w:r>
      <w:r>
        <w:rPr>
          <w:rFonts w:hint="default"/>
          <w:lang w:val="en-US" w:eastAsia="ko-KR"/>
        </w:rPr>
        <w:t>for a PF</w:t>
      </w:r>
    </w:p>
    <w:p>
      <w:pPr>
        <w:ind w:firstLine="799" w:firstLineChars="0"/>
        <w:rPr>
          <w:rFonts w:hint="default"/>
          <w:lang w:val="en-US" w:eastAsia="zh-CN"/>
        </w:rPr>
      </w:pPr>
      <w:r>
        <w:rPr>
          <w:rFonts w:hint="default"/>
          <w:lang w:val="en-US" w:eastAsia="zh-CN"/>
        </w:rPr>
        <w:t>PF_offset: offset used for PF determination</w:t>
      </w:r>
    </w:p>
    <w:p>
      <w:pPr>
        <w:ind w:firstLine="799" w:firstLineChars="0"/>
        <w:rPr>
          <w:rFonts w:hint="default"/>
          <w:lang w:val="en-US"/>
        </w:rPr>
      </w:pPr>
      <w:r>
        <w:rPr>
          <w:rFonts w:hint="default"/>
          <w:lang w:val="en-US"/>
        </w:rPr>
        <w:t>UE_ID: 5G-S-TMSI mod 4096, if the UE operates in eDRX;  else: 5G-S-TMSI mod 1024</w:t>
      </w:r>
    </w:p>
    <w:p>
      <w:pPr>
        <w:rPr>
          <w:rFonts w:hint="default"/>
          <w:lang w:val="en-US"/>
        </w:rPr>
      </w:pPr>
      <w:r>
        <w:rPr>
          <w:rFonts w:hint="default"/>
          <w:lang w:val="en-US"/>
        </w:rPr>
        <w:t>Take the following parameters as an example, T = 128 frames default paging cycle, N=T/16, PF_offset = 0, then there are only 8 paging frames per 1280ms, and these 8 paging frames are uniformly distributed within the paging cycle due to the operation of (T div N). The UEs are then sequentially distributed to the PFs according to the UE_ID due to the operation of (UE_ID mod N).</w:t>
      </w:r>
    </w:p>
    <w:p>
      <w:pPr>
        <w:jc w:val="center"/>
      </w:pPr>
      <w:r>
        <w:drawing>
          <wp:inline distT="0" distB="0" distL="114300" distR="114300">
            <wp:extent cx="3633470" cy="944245"/>
            <wp:effectExtent l="0" t="0" r="0" b="20955"/>
            <wp:docPr id="19"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31"/>
                    <pic:cNvPicPr>
                      <a:picLocks noChangeAspect="1"/>
                    </pic:cNvPicPr>
                  </pic:nvPicPr>
                  <pic:blipFill>
                    <a:blip r:embed="rId13"/>
                    <a:stretch>
                      <a:fillRect/>
                    </a:stretch>
                  </pic:blipFill>
                  <pic:spPr>
                    <a:xfrm>
                      <a:off x="0" y="0"/>
                      <a:ext cx="3633470" cy="944245"/>
                    </a:xfrm>
                    <a:prstGeom prst="rect">
                      <a:avLst/>
                    </a:prstGeom>
                    <a:noFill/>
                    <a:ln>
                      <a:noFill/>
                    </a:ln>
                  </pic:spPr>
                </pic:pic>
              </a:graphicData>
            </a:graphic>
          </wp:inline>
        </w:drawing>
      </w:r>
    </w:p>
    <w:p>
      <w:pPr>
        <w:jc w:val="center"/>
        <w:rPr>
          <w:rFonts w:hint="default"/>
          <w:lang w:val="en-US"/>
        </w:rPr>
      </w:pPr>
      <w:r>
        <w:rPr>
          <w:rFonts w:hint="default"/>
          <w:lang w:val="en-US"/>
        </w:rPr>
        <w:t>Fig.6 Legacy PF and UE distribution in a paging cycle</w:t>
      </w:r>
    </w:p>
    <w:p>
      <w:pPr>
        <w:jc w:val="both"/>
        <w:rPr>
          <w:rFonts w:hint="default"/>
          <w:lang w:val="en-US"/>
        </w:rPr>
      </w:pPr>
      <w:r>
        <w:rPr>
          <w:rFonts w:hint="default"/>
          <w:sz w:val="20"/>
          <w:szCs w:val="20"/>
          <w:lang w:val="en-US"/>
        </w:rPr>
        <w:t xml:space="preserve">For Rel-19 NES enhancement, the intention is to group the </w:t>
      </w:r>
      <w:r>
        <w:t>paging resources in a compact manner,</w:t>
      </w:r>
      <w:r>
        <w:rPr>
          <w:rFonts w:hint="default"/>
          <w:lang w:val="en-US"/>
        </w:rPr>
        <w:t xml:space="preserve"> so that network may have more time to sleep within a paging cycle. We propose the following options for further staggering paging resources. </w:t>
      </w:r>
    </w:p>
    <w:p>
      <w:pPr>
        <w:numPr>
          <w:ilvl w:val="0"/>
          <w:numId w:val="13"/>
        </w:numPr>
        <w:ind w:left="420" w:leftChars="0" w:hanging="420" w:firstLineChars="0"/>
        <w:jc w:val="left"/>
        <w:rPr>
          <w:rFonts w:hint="default" w:ascii="Times New Roman" w:hAnsi="Times New Roman" w:cs="Times New Roman"/>
          <w:i w:val="0"/>
          <w:iCs/>
          <w:szCs w:val="22"/>
          <w:lang w:val="en-US" w:eastAsia="sv-SE"/>
        </w:rPr>
      </w:pPr>
      <w:r>
        <w:rPr>
          <w:rFonts w:hint="default" w:ascii="Times New Roman Bold" w:hAnsi="Times New Roman Bold" w:cs="Times New Roman Bold"/>
          <w:b/>
          <w:bCs/>
          <w:lang w:val="en-US"/>
        </w:rPr>
        <w:t>Option 1: Enable configuring only one PF within the paging cycle</w:t>
      </w:r>
    </w:p>
    <w:p>
      <w:pPr>
        <w:ind w:left="0" w:leftChars="0" w:firstLine="0" w:firstLineChars="0"/>
        <w:jc w:val="both"/>
        <w:rPr>
          <w:rFonts w:hint="default" w:ascii="Times New Roman" w:hAnsi="Times New Roman" w:cs="Times New Roman"/>
          <w:b w:val="0"/>
          <w:bCs w:val="0"/>
          <w:lang w:val="en-US"/>
        </w:rPr>
      </w:pPr>
      <w:r>
        <w:rPr>
          <w:rFonts w:hint="default" w:ascii="Times New Roman" w:hAnsi="Times New Roman" w:cs="Times New Roman"/>
          <w:b w:val="0"/>
          <w:bCs w:val="0"/>
          <w:lang w:val="en-US"/>
        </w:rPr>
        <w:t>Since the multiple paging frames are evenly distributed in the paging cycle, the simplest way is to configure only on</w:t>
      </w:r>
      <w:r>
        <w:rPr>
          <w:rFonts w:hint="default" w:cs="Times New Roman"/>
          <w:b w:val="0"/>
          <w:bCs w:val="0"/>
          <w:lang w:val="en-US"/>
        </w:rPr>
        <w:t>e</w:t>
      </w:r>
      <w:r>
        <w:rPr>
          <w:rFonts w:hint="default" w:ascii="Times New Roman" w:hAnsi="Times New Roman" w:cs="Times New Roman"/>
          <w:b w:val="0"/>
          <w:bCs w:val="0"/>
          <w:lang w:val="en-US"/>
        </w:rPr>
        <w:t xml:space="preserve"> PF within the paging cycle, i.e. enable N = 1. </w:t>
      </w:r>
    </w:p>
    <w:p>
      <w:pPr>
        <w:ind w:left="0" w:leftChars="0" w:firstLine="0" w:firstLineChars="0"/>
        <w:jc w:val="both"/>
        <w:rPr>
          <w:rFonts w:hint="default"/>
          <w:lang w:val="en-US"/>
        </w:rPr>
      </w:pPr>
      <w:r>
        <w:rPr>
          <w:rFonts w:hint="default"/>
          <w:lang w:val="en-US"/>
        </w:rPr>
        <w:t xml:space="preserve">This requires change to the RRC configuration to allow more values configured for </w:t>
      </w:r>
      <w:r>
        <w:t>nAndPagingFrameOffset</w:t>
      </w:r>
      <w:r>
        <w:rPr>
          <w:rFonts w:hint="default"/>
          <w:lang w:val="en-US"/>
        </w:rPr>
        <w:t xml:space="preserve">, that is at least extend from T/16 to T/32, T/64, T/128, T/256. Then for Paging cycle T=1280ms, N=T/128, we will have only one PF within the cycle. Consequently, to accommodate for the number of UEs to be paged within one paging frame, the number of subframes for paging occasions also need to be increased, i.e. value range of Ns also needs to be increased. </w:t>
      </w:r>
    </w:p>
    <w:p>
      <w:pPr>
        <w:jc w:val="center"/>
      </w:pPr>
      <w:r>
        <w:drawing>
          <wp:inline distT="0" distB="0" distL="114300" distR="114300">
            <wp:extent cx="1962150" cy="1222375"/>
            <wp:effectExtent l="0" t="0" r="19050" b="0"/>
            <wp:docPr id="2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34"/>
                    <pic:cNvPicPr>
                      <a:picLocks noChangeAspect="1"/>
                    </pic:cNvPicPr>
                  </pic:nvPicPr>
                  <pic:blipFill>
                    <a:blip r:embed="rId14"/>
                    <a:stretch>
                      <a:fillRect/>
                    </a:stretch>
                  </pic:blipFill>
                  <pic:spPr>
                    <a:xfrm>
                      <a:off x="0" y="0"/>
                      <a:ext cx="1962150" cy="1222375"/>
                    </a:xfrm>
                    <a:prstGeom prst="rect">
                      <a:avLst/>
                    </a:prstGeom>
                    <a:noFill/>
                    <a:ln>
                      <a:noFill/>
                    </a:ln>
                  </pic:spPr>
                </pic:pic>
              </a:graphicData>
            </a:graphic>
          </wp:inline>
        </w:drawing>
      </w:r>
    </w:p>
    <w:p>
      <w:pPr>
        <w:jc w:val="center"/>
        <w:rPr>
          <w:rFonts w:hint="default"/>
          <w:lang w:val="en-US"/>
        </w:rPr>
      </w:pPr>
      <w:r>
        <w:rPr>
          <w:rFonts w:hint="default"/>
          <w:lang w:val="en-US"/>
        </w:rPr>
        <w:t>Fig.7 Enable configuring only one PF for every paging cycle</w:t>
      </w:r>
    </w:p>
    <w:p>
      <w:pPr>
        <w:jc w:val="both"/>
        <w:rPr>
          <w:rFonts w:hint="default"/>
          <w:lang w:val="en-US"/>
        </w:rPr>
      </w:pPr>
      <w:r>
        <w:rPr>
          <w:rFonts w:hint="default"/>
          <w:lang w:val="en-US"/>
        </w:rPr>
        <w:t xml:space="preserve">With this option, the length of the paging frame would be longer with more monitoring occasions, and possibly larger paging group. </w:t>
      </w:r>
    </w:p>
    <w:p>
      <w:pPr>
        <w:numPr>
          <w:ilvl w:val="0"/>
          <w:numId w:val="13"/>
        </w:numPr>
        <w:ind w:left="420" w:leftChars="0" w:hanging="420" w:firstLineChars="0"/>
        <w:jc w:val="left"/>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Option 2: Stagger uniformly distributed PFs in one paging cycle into consecutive PFs</w:t>
      </w:r>
    </w:p>
    <w:p>
      <w:pPr>
        <w:jc w:val="both"/>
        <w:rPr>
          <w:rFonts w:hint="default" w:ascii="Times New Roman" w:hAnsi="Times New Roman" w:cs="Times New Roman"/>
          <w:lang w:val="en-US" w:eastAsia="zh-CN"/>
        </w:rPr>
      </w:pPr>
      <w:r>
        <w:rPr>
          <w:rFonts w:hint="default" w:ascii="Times New Roman" w:hAnsi="Times New Roman" w:cs="Times New Roman"/>
          <w:lang w:val="en-US" w:eastAsia="zh-CN"/>
        </w:rPr>
        <w:t xml:space="preserve">Another option is to stagger the uniformly distributed PFs into consecutive PFs. Since the uniform distribution of PF is due to the (T div N) operation PF calculation equation, we could concentrate PFs within one paging cycle by changing the equation to (SFN + PF_offset) mod T = UE_ID mod N, while the PO calculation equation remains unchanged. </w:t>
      </w:r>
    </w:p>
    <w:p>
      <w:pPr>
        <w:jc w:val="center"/>
      </w:pPr>
      <w:r>
        <w:drawing>
          <wp:inline distT="0" distB="0" distL="114300" distR="114300">
            <wp:extent cx="2851785" cy="1032510"/>
            <wp:effectExtent l="0" t="0" r="18415" b="8255"/>
            <wp:docPr id="23"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35"/>
                    <pic:cNvPicPr>
                      <a:picLocks noChangeAspect="1"/>
                    </pic:cNvPicPr>
                  </pic:nvPicPr>
                  <pic:blipFill>
                    <a:blip r:embed="rId15"/>
                    <a:stretch>
                      <a:fillRect/>
                    </a:stretch>
                  </pic:blipFill>
                  <pic:spPr>
                    <a:xfrm>
                      <a:off x="0" y="0"/>
                      <a:ext cx="2851785" cy="1032510"/>
                    </a:xfrm>
                    <a:prstGeom prst="rect">
                      <a:avLst/>
                    </a:prstGeom>
                    <a:noFill/>
                    <a:ln>
                      <a:noFill/>
                    </a:ln>
                  </pic:spPr>
                </pic:pic>
              </a:graphicData>
            </a:graphic>
          </wp:inline>
        </w:drawing>
      </w:r>
    </w:p>
    <w:p>
      <w:pPr>
        <w:jc w:val="center"/>
        <w:rPr>
          <w:rFonts w:hint="default"/>
          <w:lang w:val="en-US"/>
        </w:rPr>
      </w:pPr>
      <w:r>
        <w:rPr>
          <w:rFonts w:hint="default"/>
          <w:lang w:val="en-US"/>
        </w:rPr>
        <w:t>Fig.8 Staggering distributed PRs into consecutive PFs</w:t>
      </w:r>
    </w:p>
    <w:p>
      <w:pPr>
        <w:jc w:val="left"/>
        <w:rPr>
          <w:rFonts w:hint="default" w:ascii="Times New Roman Bold" w:hAnsi="Times New Roman Bold" w:cs="Times New Roman Bold"/>
          <w:b/>
          <w:bCs/>
          <w:lang w:val="en-US"/>
        </w:rPr>
      </w:pPr>
      <w:r>
        <w:rPr>
          <w:rFonts w:hint="default" w:ascii="Times New Roman" w:hAnsi="Times New Roman" w:cs="Times New Roman"/>
          <w:lang w:val="en-US" w:eastAsia="zh-CN"/>
        </w:rPr>
        <w:t>Note that</w:t>
      </w:r>
      <w:r>
        <w:rPr>
          <w:rFonts w:hint="default" w:cs="Times New Roman"/>
          <w:lang w:val="en-US" w:eastAsia="zh-CN"/>
        </w:rPr>
        <w:t>,</w:t>
      </w:r>
      <w:r>
        <w:rPr>
          <w:rFonts w:hint="default" w:ascii="Times New Roman" w:hAnsi="Times New Roman" w:cs="Times New Roman"/>
          <w:lang w:val="en-US" w:eastAsia="zh-CN"/>
        </w:rPr>
        <w:t xml:space="preserve"> for Option 1 and Option 2, either the RRC configuration parameter or the PF equation is changed, </w:t>
      </w:r>
      <w:r>
        <w:rPr>
          <w:rFonts w:hint="eastAsia" w:eastAsia="Malgun Gothic" w:cs="Times New Roman"/>
          <w:lang w:val="en-US" w:eastAsia="ko-KR"/>
        </w:rPr>
        <w:t xml:space="preserve">and thus </w:t>
      </w:r>
      <w:r>
        <w:rPr>
          <w:rFonts w:hint="default" w:ascii="Times New Roman" w:hAnsi="Times New Roman" w:cs="Times New Roman"/>
          <w:lang w:val="en-US" w:eastAsia="zh-CN"/>
        </w:rPr>
        <w:t xml:space="preserve">they actually changed the paging resource from network perspective. Legacy UEs can not recognize these resource, therefore, separate resources needs to be configured for legacy UEs and new UEs. </w:t>
      </w:r>
    </w:p>
    <w:p>
      <w:pPr>
        <w:numPr>
          <w:ilvl w:val="0"/>
          <w:numId w:val="13"/>
        </w:numPr>
        <w:ind w:left="420" w:leftChars="0" w:hanging="420" w:firstLineChars="0"/>
        <w:jc w:val="left"/>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 xml:space="preserve">Option 3: Map UEs to concentrated PF/POs to enable gNB sleeping in PFs without UE mapping </w:t>
      </w:r>
    </w:p>
    <w:p>
      <w:pPr>
        <w:rPr>
          <w:rFonts w:hint="default"/>
          <w:lang w:val="en-US"/>
        </w:rPr>
      </w:pPr>
      <w:r>
        <w:rPr>
          <w:rFonts w:hint="default" w:cs="Times New Roman"/>
          <w:b w:val="0"/>
          <w:bCs w:val="0"/>
          <w:lang w:val="en-US"/>
        </w:rPr>
        <w:t xml:space="preserve">In legacy PF mapping formula, the UEs are sequentially mapped to PFs according to their UE_ID, according to the operation </w:t>
      </w:r>
      <w:r>
        <w:rPr>
          <w:rFonts w:hint="default"/>
          <w:lang w:val="en-US"/>
        </w:rPr>
        <w:t xml:space="preserve">(UE_ID mod N). To allow more time for gNB sleeping, if the UEs could be mapped to only a subset of concentrated PFs, e.g. the first several PFs, it would allow gNB to sleep for the rest PFs. </w:t>
      </w:r>
    </w:p>
    <w:p>
      <w:pPr>
        <w:rPr>
          <w:rFonts w:hint="default"/>
          <w:lang w:val="en-US"/>
        </w:rPr>
      </w:pPr>
      <w:r>
        <w:rPr>
          <w:rFonts w:hint="default"/>
          <w:lang w:val="en-US"/>
        </w:rPr>
        <w:t>Rel-19 NES UEs could be configured with a group_ID to replace UE_ID when determining the PF and PO</w:t>
      </w:r>
      <w:r>
        <w:rPr>
          <w:rFonts w:hint="eastAsia" w:eastAsia="Malgun Gothic"/>
          <w:lang w:val="en-US" w:eastAsia="ko-KR"/>
        </w:rPr>
        <w:t>. Therefore,</w:t>
      </w:r>
      <w:r>
        <w:rPr>
          <w:rFonts w:hint="default"/>
          <w:lang w:val="en-US"/>
        </w:rPr>
        <w:t xml:space="preserve"> the UEs that are configured with the same group_ID will be confined within the same PF</w:t>
      </w:r>
      <w:r>
        <w:rPr>
          <w:rFonts w:hint="eastAsia" w:eastAsia="Malgun Gothic"/>
          <w:lang w:val="en-US" w:eastAsia="ko-KR"/>
        </w:rPr>
        <w:t>. B</w:t>
      </w:r>
      <w:r>
        <w:rPr>
          <w:rFonts w:hint="default"/>
          <w:lang w:val="en-US"/>
        </w:rPr>
        <w:t>y setting group_ID, NW could ensure that all these UEs are mapped to particular PFs instead of spread</w:t>
      </w:r>
      <w:r>
        <w:rPr>
          <w:rFonts w:hint="eastAsia" w:eastAsia="Malgun Gothic"/>
          <w:lang w:val="en-US" w:eastAsia="ko-KR"/>
        </w:rPr>
        <w:t>ing out</w:t>
      </w:r>
      <w:r>
        <w:rPr>
          <w:rFonts w:hint="default"/>
          <w:lang w:val="en-US"/>
        </w:rPr>
        <w:t xml:space="preserve"> all over the paging cycle. </w:t>
      </w:r>
    </w:p>
    <w:p>
      <w:pPr>
        <w:jc w:val="center"/>
      </w:pPr>
      <w:r>
        <w:drawing>
          <wp:inline distT="0" distB="0" distL="114300" distR="114300">
            <wp:extent cx="3301365" cy="1783080"/>
            <wp:effectExtent l="0" t="0" r="635" b="20320"/>
            <wp:docPr id="24"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36"/>
                    <pic:cNvPicPr>
                      <a:picLocks noChangeAspect="1"/>
                    </pic:cNvPicPr>
                  </pic:nvPicPr>
                  <pic:blipFill>
                    <a:blip r:embed="rId16"/>
                    <a:stretch>
                      <a:fillRect/>
                    </a:stretch>
                  </pic:blipFill>
                  <pic:spPr>
                    <a:xfrm>
                      <a:off x="0" y="0"/>
                      <a:ext cx="3301365" cy="1783080"/>
                    </a:xfrm>
                    <a:prstGeom prst="rect">
                      <a:avLst/>
                    </a:prstGeom>
                    <a:noFill/>
                    <a:ln>
                      <a:noFill/>
                    </a:ln>
                  </pic:spPr>
                </pic:pic>
              </a:graphicData>
            </a:graphic>
          </wp:inline>
        </w:drawing>
      </w:r>
    </w:p>
    <w:p>
      <w:pPr>
        <w:jc w:val="center"/>
        <w:rPr>
          <w:rFonts w:hint="default"/>
          <w:lang w:val="en-US"/>
        </w:rPr>
      </w:pPr>
      <w:r>
        <w:rPr>
          <w:rFonts w:hint="default"/>
          <w:lang w:val="en-US"/>
        </w:rPr>
        <w:t>Fig.9 Mapping UEs to concentrated PF/POs</w:t>
      </w:r>
    </w:p>
    <w:p>
      <w:pPr>
        <w:jc w:val="left"/>
        <w:rPr>
          <w:rFonts w:hint="default"/>
          <w:lang w:val="en-US"/>
        </w:rPr>
      </w:pPr>
      <w:r>
        <w:rPr>
          <w:rFonts w:hint="default"/>
          <w:lang w:val="en-US"/>
        </w:rPr>
        <w:t xml:space="preserve">By using Option 3, even when legacy UEs and Rel-19 NES-capable UEs share the same paging resource, it also provides gNB opportunity to sleep if gNB finds there are no legacy UEs to page on those PFs that there are fewer UEs mapped.  </w:t>
      </w:r>
    </w:p>
    <w:p>
      <w:pPr>
        <w:rPr>
          <w:rFonts w:hint="default" w:ascii="Times New Roman Bold" w:hAnsi="Times New Roman Bold" w:cs="Times New Roman Bold"/>
          <w:b/>
          <w:bCs/>
          <w:lang w:val="en-US"/>
        </w:rPr>
      </w:pPr>
    </w:p>
    <w:p>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6: Consider the following options for Paging adaptation </w:t>
      </w:r>
    </w:p>
    <w:p>
      <w:pPr>
        <w:numPr>
          <w:ilvl w:val="0"/>
          <w:numId w:val="13"/>
        </w:numPr>
        <w:ind w:left="420" w:leftChars="0" w:hanging="420" w:firstLineChars="0"/>
        <w:jc w:val="left"/>
        <w:rPr>
          <w:rFonts w:hint="default" w:ascii="Times New Roman" w:hAnsi="Times New Roman" w:cs="Times New Roman"/>
          <w:i w:val="0"/>
          <w:iCs/>
          <w:szCs w:val="22"/>
          <w:lang w:val="en-US" w:eastAsia="sv-SE"/>
        </w:rPr>
      </w:pPr>
      <w:r>
        <w:rPr>
          <w:rFonts w:hint="default" w:ascii="Times New Roman Bold" w:hAnsi="Times New Roman Bold" w:cs="Times New Roman Bold"/>
          <w:b/>
          <w:bCs/>
          <w:lang w:val="en-US"/>
        </w:rPr>
        <w:t>Option 1: Enable configuring only one PF within the paging cycle</w:t>
      </w:r>
    </w:p>
    <w:p>
      <w:pPr>
        <w:numPr>
          <w:ilvl w:val="0"/>
          <w:numId w:val="13"/>
        </w:numPr>
        <w:ind w:left="420" w:leftChars="0" w:hanging="420" w:firstLineChars="0"/>
        <w:jc w:val="left"/>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Option 2: Stagger uniformly distributed PFs in one paging cycle into consecutive PFs</w:t>
      </w:r>
    </w:p>
    <w:p>
      <w:pPr>
        <w:numPr>
          <w:ilvl w:val="0"/>
          <w:numId w:val="13"/>
        </w:numPr>
        <w:ind w:left="420" w:leftChars="0" w:hanging="420" w:firstLineChars="0"/>
        <w:jc w:val="left"/>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 xml:space="preserve">Option 3: Map UEs to concentrated PF/POs  </w:t>
      </w:r>
    </w:p>
    <w:p>
      <w:pPr>
        <w:jc w:val="left"/>
        <w:rPr>
          <w:rFonts w:hint="default"/>
          <w:lang w:val="en-US"/>
        </w:rPr>
      </w:pPr>
    </w:p>
    <w:p>
      <w:pPr>
        <w:jc w:val="left"/>
        <w:rPr>
          <w:rFonts w:hint="default" w:cs="Times New Roman"/>
          <w:b w:val="0"/>
          <w:bCs w:val="0"/>
          <w:lang w:val="en-US"/>
        </w:rPr>
      </w:pPr>
      <w:r>
        <w:rPr>
          <w:rFonts w:hint="default" w:ascii="Times New Roman" w:hAnsi="Times New Roman" w:cs="Times New Roman"/>
          <w:b w:val="0"/>
          <w:bCs w:val="0"/>
          <w:lang w:val="en-US"/>
        </w:rPr>
        <w:t xml:space="preserve">Note that in Rel-17, PEI was introduced enable UE power saving in idle/inactive mode. With the adaptation of PFs and POs, the PEI indication may also need to be adapted as well. </w:t>
      </w:r>
      <w:r>
        <w:rPr>
          <w:rFonts w:hint="default" w:cs="Times New Roman"/>
          <w:b w:val="0"/>
          <w:bCs w:val="0"/>
          <w:lang w:val="en-US"/>
        </w:rPr>
        <w:t>The impact of paging resource adaptation on PEI should also be considered.</w:t>
      </w:r>
    </w:p>
    <w:p>
      <w:pPr>
        <w:rPr>
          <w:rFonts w:hint="default"/>
          <w:lang w:val="en-US"/>
        </w:rPr>
      </w:pPr>
      <w:r>
        <w:rPr>
          <w:rFonts w:hint="default" w:ascii="Times New Roman Bold" w:hAnsi="Times New Roman Bold" w:cs="Times New Roman Bold"/>
          <w:b/>
          <w:bCs/>
          <w:lang w:val="en-US"/>
        </w:rPr>
        <w:t xml:space="preserve">Proposal 7: Impact of paging resource adaptation on PEI should also be considered. </w:t>
      </w:r>
    </w:p>
    <w:p>
      <w:pPr>
        <w:keepNext/>
        <w:keepLines/>
        <w:numPr>
          <w:ilvl w:val="0"/>
          <w:numId w:val="3"/>
        </w:numPr>
        <w:pBdr>
          <w:top w:val="single" w:color="auto" w:sz="12" w:space="3"/>
        </w:pBdr>
        <w:overflowPunct w:val="0"/>
        <w:autoSpaceDE w:val="0"/>
        <w:autoSpaceDN w:val="0"/>
        <w:adjustRightInd w:val="0"/>
        <w:spacing w:before="240" w:after="180"/>
        <w:textAlignment w:val="baseline"/>
        <w:outlineLvl w:val="0"/>
        <w:rPr>
          <w:rFonts w:ascii="Times New Roman" w:hAnsi="Times New Roman" w:eastAsia="Malgun Gothic" w:cs="Times New Roman"/>
          <w:sz w:val="36"/>
          <w:szCs w:val="36"/>
          <w:lang w:val="en-US" w:eastAsia="zh-CN" w:bidi="ar-SA"/>
        </w:rPr>
      </w:pPr>
      <w:r>
        <w:rPr>
          <w:rFonts w:ascii="Times New Roman" w:hAnsi="Times New Roman" w:eastAsia="Malgun Gothic" w:cs="Times New Roman"/>
          <w:sz w:val="36"/>
          <w:szCs w:val="36"/>
          <w:lang w:val="en-US" w:eastAsia="zh-CN" w:bidi="ar-SA"/>
        </w:rPr>
        <w:t xml:space="preserve"> </w:t>
      </w:r>
      <w:r>
        <w:rPr>
          <w:rFonts w:hint="default" w:ascii="Times New Roman" w:hAnsi="Times New Roman" w:eastAsia="Malgun Gothic" w:cs="Times New Roman"/>
          <w:sz w:val="36"/>
          <w:szCs w:val="36"/>
          <w:lang w:val="en-US" w:eastAsia="zh-CN" w:bidi="ar-SA"/>
        </w:rPr>
        <w:t>Conclusion</w:t>
      </w:r>
    </w:p>
    <w:p>
      <w:pPr>
        <w:spacing w:after="120"/>
        <w:jc w:val="both"/>
        <w:rPr>
          <w:rFonts w:hint="default" w:ascii="Times New Roman" w:hAnsi="Times New Roman" w:eastAsia="Times New Roman" w:cs="Times New Roman"/>
          <w:lang w:val="en-US" w:eastAsia="zh-CN"/>
        </w:rPr>
      </w:pPr>
      <w:r>
        <w:rPr>
          <w:rFonts w:ascii="Times New Roman" w:hAnsi="Times New Roman" w:eastAsia="Times New Roman" w:cs="Times New Roman"/>
          <w:lang w:val="en-US" w:eastAsia="zh-CN"/>
        </w:rPr>
        <w:t>In this contribution, we</w:t>
      </w:r>
      <w:r>
        <w:rPr>
          <w:rFonts w:hint="default" w:eastAsia="Times New Roman" w:cs="Times New Roman"/>
          <w:lang w:val="en-US" w:eastAsia="zh-CN"/>
        </w:rPr>
        <w:t xml:space="preserve"> discussed on the signaling and adaptation mechanisms for common SSB, PRACH and Paging for Rel-19 NES enhancements, the following proposal are made: </w:t>
      </w:r>
    </w:p>
    <w:p>
      <w:pPr>
        <w:numPr>
          <w:ilvl w:val="-1"/>
          <w:numId w:val="0"/>
        </w:numPr>
        <w:bidi w:val="0"/>
        <w:spacing w:after="180"/>
        <w:ind w:left="0" w:leftChars="0" w:firstLine="0"/>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Proposal 1: Further discuss on solutions to avoid impact of SSB periodicity adaptation to legacy UEs, including where SSB adaptation is applied, to NCD-SSB or CD-SSB.</w:t>
      </w:r>
    </w:p>
    <w:p>
      <w:pPr>
        <w:bidi w:val="0"/>
        <w:rPr>
          <w:rFonts w:hint="default" w:ascii="Times New Roman Bold" w:hAnsi="Times New Roman Bold" w:cs="Times New Roman Bold"/>
          <w:b/>
          <w:bCs/>
          <w:i w:val="0"/>
          <w:iCs/>
          <w:szCs w:val="22"/>
          <w:lang w:val="en-US" w:eastAsia="zh-CN"/>
        </w:rPr>
      </w:pPr>
      <w:bookmarkStart w:id="4" w:name="_GoBack"/>
      <w:bookmarkEnd w:id="4"/>
      <w:r>
        <w:rPr>
          <w:rFonts w:hint="default" w:ascii="Times New Roman Bold" w:hAnsi="Times New Roman Bold" w:cs="Times New Roman Bold"/>
          <w:b/>
          <w:bCs/>
          <w:i w:val="0"/>
          <w:iCs/>
          <w:szCs w:val="22"/>
          <w:lang w:val="en-US" w:eastAsia="zh-CN"/>
        </w:rPr>
        <w:t>Proposal 2: Support SSB periodicity adaptation within a BCCH modification period, via the following indication alternatives:</w:t>
      </w:r>
    </w:p>
    <w:p>
      <w:pPr>
        <w:numPr>
          <w:ilvl w:val="0"/>
          <w:numId w:val="8"/>
        </w:numPr>
        <w:bidi w:val="0"/>
        <w:ind w:left="420" w:leftChars="0" w:hanging="420" w:firstLineChars="0"/>
        <w:rPr>
          <w:rFonts w:hint="default" w:ascii="Times New Roman Bold" w:hAnsi="Times New Roman Bold" w:cs="Times New Roman Bold"/>
          <w:b/>
          <w:bCs/>
          <w:i w:val="0"/>
          <w:iCs/>
          <w:szCs w:val="22"/>
          <w:lang w:val="en-US" w:eastAsia="zh-CN"/>
        </w:rPr>
      </w:pPr>
      <w:r>
        <w:rPr>
          <w:rFonts w:hint="default" w:ascii="Times New Roman Bold" w:hAnsi="Times New Roman Bold" w:cs="Times New Roman Bold"/>
          <w:b/>
          <w:bCs/>
          <w:i w:val="0"/>
          <w:iCs/>
          <w:szCs w:val="22"/>
          <w:lang w:val="en-US" w:eastAsia="zh-CN"/>
        </w:rPr>
        <w:t>Paging Short Message</w:t>
      </w:r>
    </w:p>
    <w:p>
      <w:pPr>
        <w:numPr>
          <w:ilvl w:val="0"/>
          <w:numId w:val="8"/>
        </w:numPr>
        <w:bidi w:val="0"/>
        <w:ind w:left="420" w:leftChars="0" w:hanging="420" w:firstLineChars="0"/>
        <w:rPr>
          <w:rFonts w:hint="default" w:ascii="Times New Roman Bold" w:hAnsi="Times New Roman Bold" w:cs="Times New Roman Bold"/>
          <w:b/>
          <w:bCs/>
          <w:i w:val="0"/>
          <w:iCs/>
          <w:szCs w:val="22"/>
          <w:lang w:val="en-US" w:eastAsia="zh-CN"/>
        </w:rPr>
      </w:pPr>
      <w:r>
        <w:rPr>
          <w:rFonts w:hint="default" w:ascii="Times New Roman Bold" w:hAnsi="Times New Roman Bold" w:cs="Times New Roman Bold"/>
          <w:b/>
          <w:bCs/>
          <w:i w:val="0"/>
          <w:iCs/>
          <w:szCs w:val="22"/>
          <w:lang w:val="en-US" w:eastAsia="zh-CN"/>
        </w:rPr>
        <w:t>Paging DCI</w:t>
      </w:r>
    </w:p>
    <w:p>
      <w:pPr>
        <w:numPr>
          <w:ilvl w:val="0"/>
          <w:numId w:val="8"/>
        </w:numPr>
        <w:bidi w:val="0"/>
        <w:ind w:left="420" w:leftChars="0" w:hanging="420" w:firstLineChars="0"/>
        <w:rPr>
          <w:rFonts w:hint="default" w:ascii="Times New Roman Bold" w:hAnsi="Times New Roman Bold" w:cs="Times New Roman Bold"/>
          <w:b/>
          <w:bCs/>
          <w:i w:val="0"/>
          <w:iCs/>
          <w:szCs w:val="22"/>
          <w:lang w:val="en-US" w:eastAsia="zh-CN"/>
        </w:rPr>
      </w:pPr>
      <w:r>
        <w:rPr>
          <w:rFonts w:hint="default" w:ascii="Times New Roman Bold" w:hAnsi="Times New Roman Bold" w:cs="Times New Roman Bold"/>
          <w:b/>
          <w:bCs/>
          <w:i w:val="0"/>
          <w:iCs/>
          <w:szCs w:val="22"/>
          <w:lang w:val="en-US" w:eastAsia="zh-CN"/>
        </w:rPr>
        <w:t>Legacy DCI with new RNTI or a new DCI format in CSS</w:t>
      </w:r>
    </w:p>
    <w:p>
      <w:pPr>
        <w:bidi w:val="0"/>
        <w:jc w:val="left"/>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3: The SSB periodicity adaptation occurs at the boundary of next SFN satisfying (SFN mod T=0) where T is the adapted SSB periodicity. </w:t>
      </w:r>
    </w:p>
    <w:p>
      <w:pPr>
        <w:rPr>
          <w:rFonts w:hint="default" w:ascii="Times New Roman Bold" w:hAnsi="Times New Roman Bold" w:cs="Times New Roman Bold"/>
          <w:b/>
          <w:bCs/>
          <w:lang w:val="en-US" w:eastAsia="sv-SE"/>
        </w:rPr>
      </w:pPr>
    </w:p>
    <w:p>
      <w:pPr>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 xml:space="preserve">Proposal 4: Further discuss on the three levels of PRACH adaptation in time domain to be supported:  </w:t>
      </w:r>
    </w:p>
    <w:p>
      <w:pPr>
        <w:numPr>
          <w:ilvl w:val="0"/>
          <w:numId w:val="10"/>
        </w:numPr>
        <w:ind w:left="420" w:leftChars="0" w:hanging="420" w:firstLineChars="0"/>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Option 1: PRACH configuration period level adaptation</w:t>
      </w:r>
    </w:p>
    <w:p>
      <w:pPr>
        <w:numPr>
          <w:ilvl w:val="0"/>
          <w:numId w:val="10"/>
        </w:numPr>
        <w:ind w:left="420" w:leftChars="0" w:hanging="420" w:firstLineChars="0"/>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Option 2: PRACH association period level adaptation</w:t>
      </w:r>
    </w:p>
    <w:p>
      <w:pPr>
        <w:numPr>
          <w:ilvl w:val="0"/>
          <w:numId w:val="10"/>
        </w:numPr>
        <w:ind w:left="420" w:leftChars="0" w:hanging="420" w:firstLineChars="0"/>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 xml:space="preserve">Option 3: PRACH association pattern period level adaptation </w:t>
      </w:r>
    </w:p>
    <w:p>
      <w:pPr>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 xml:space="preserve">Proposal 5: PRACH adaptation in spatial domain can be supported via the following options: </w:t>
      </w:r>
    </w:p>
    <w:p>
      <w:pPr>
        <w:numPr>
          <w:ilvl w:val="0"/>
          <w:numId w:val="12"/>
        </w:numPr>
        <w:ind w:left="420" w:leftChars="0" w:hanging="420" w:firstLineChars="0"/>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 xml:space="preserve">Option 1: Adapt the number of SSBs that NW actually monitors corresponding RO </w:t>
      </w:r>
    </w:p>
    <w:p>
      <w:pPr>
        <w:numPr>
          <w:ilvl w:val="0"/>
          <w:numId w:val="12"/>
        </w:numPr>
        <w:ind w:left="420" w:leftChars="0" w:hanging="420" w:firstLineChars="0"/>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Option 2: Adapt uneven number of ROs per SSB</w:t>
      </w:r>
    </w:p>
    <w:p>
      <w:pPr>
        <w:numPr>
          <w:ilvl w:val="0"/>
          <w:numId w:val="12"/>
        </w:numPr>
        <w:ind w:left="420" w:leftChars="0" w:hanging="420" w:firstLineChars="0"/>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Option 3: Adapt uneven number of preambles per RO per SSB</w:t>
      </w:r>
    </w:p>
    <w:p>
      <w:pPr>
        <w:rPr>
          <w:rFonts w:hint="default" w:ascii="Times New Roman Bold" w:hAnsi="Times New Roman Bold" w:cs="Times New Roman Bold"/>
          <w:b/>
          <w:bCs/>
          <w:lang w:val="en-US"/>
        </w:rPr>
      </w:pPr>
    </w:p>
    <w:p>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6: Consider the following options for Paging adaptation </w:t>
      </w:r>
    </w:p>
    <w:p>
      <w:pPr>
        <w:numPr>
          <w:ilvl w:val="0"/>
          <w:numId w:val="13"/>
        </w:numPr>
        <w:ind w:left="420" w:leftChars="0" w:hanging="420" w:firstLineChars="0"/>
        <w:jc w:val="left"/>
        <w:rPr>
          <w:rFonts w:hint="default" w:ascii="Times New Roman" w:hAnsi="Times New Roman" w:cs="Times New Roman"/>
          <w:i w:val="0"/>
          <w:iCs/>
          <w:szCs w:val="22"/>
          <w:lang w:val="en-US" w:eastAsia="sv-SE"/>
        </w:rPr>
      </w:pPr>
      <w:r>
        <w:rPr>
          <w:rFonts w:hint="default" w:ascii="Times New Roman Bold" w:hAnsi="Times New Roman Bold" w:cs="Times New Roman Bold"/>
          <w:b/>
          <w:bCs/>
          <w:lang w:val="en-US"/>
        </w:rPr>
        <w:t>Option 1: Enable configuring only one PF within the paging cycle</w:t>
      </w:r>
    </w:p>
    <w:p>
      <w:pPr>
        <w:numPr>
          <w:ilvl w:val="0"/>
          <w:numId w:val="13"/>
        </w:numPr>
        <w:ind w:left="420" w:leftChars="0" w:hanging="420" w:firstLineChars="0"/>
        <w:jc w:val="left"/>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Option 2: Stagger uniformly distributed PFs in one paging cycle into consecutive PFs</w:t>
      </w:r>
    </w:p>
    <w:p>
      <w:pPr>
        <w:numPr>
          <w:ilvl w:val="0"/>
          <w:numId w:val="13"/>
        </w:numPr>
        <w:ind w:left="420" w:leftChars="0" w:hanging="420" w:firstLineChars="0"/>
        <w:jc w:val="left"/>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 xml:space="preserve">Option 3: Map UEs to concentrated PF/POs  </w:t>
      </w:r>
    </w:p>
    <w:p>
      <w:pPr>
        <w:rPr>
          <w:rFonts w:hint="default" w:ascii="Times New Roman Bold" w:hAnsi="Times New Roman Bold" w:cs="Times New Roman Bold"/>
          <w:b/>
          <w:bCs/>
          <w:i w:val="0"/>
          <w:iCs/>
          <w:szCs w:val="22"/>
          <w:lang w:val="en-US" w:eastAsia="zh-CN"/>
        </w:rPr>
      </w:pPr>
      <w:r>
        <w:rPr>
          <w:rFonts w:hint="default" w:ascii="Times New Roman Bold" w:hAnsi="Times New Roman Bold" w:cs="Times New Roman Bold"/>
          <w:b/>
          <w:bCs/>
          <w:lang w:val="en-US"/>
        </w:rPr>
        <w:t xml:space="preserve">Proposal 7: Impact of paging resource adaptation on PEI should also be considered. </w:t>
      </w:r>
    </w:p>
    <w:p>
      <w:pPr>
        <w:keepNext/>
        <w:keepLines/>
        <w:numPr>
          <w:ilvl w:val="0"/>
          <w:numId w:val="3"/>
        </w:numPr>
        <w:pBdr>
          <w:top w:val="single" w:color="auto" w:sz="12" w:space="3"/>
        </w:pBdr>
        <w:overflowPunct w:val="0"/>
        <w:autoSpaceDE w:val="0"/>
        <w:autoSpaceDN w:val="0"/>
        <w:adjustRightInd w:val="0"/>
        <w:spacing w:before="240" w:after="180"/>
        <w:textAlignment w:val="baseline"/>
        <w:outlineLvl w:val="0"/>
        <w:rPr>
          <w:rFonts w:ascii="Times New Roman" w:hAnsi="Times New Roman" w:eastAsia="Malgun Gothic" w:cs="Times New Roman"/>
          <w:sz w:val="36"/>
          <w:szCs w:val="36"/>
          <w:lang w:val="en-US" w:eastAsia="zh-CN" w:bidi="ar-SA"/>
        </w:rPr>
      </w:pPr>
      <w:r>
        <w:rPr>
          <w:rFonts w:ascii="Times New Roman" w:hAnsi="Times New Roman" w:eastAsia="Malgun Gothic" w:cs="Times New Roman"/>
          <w:sz w:val="36"/>
          <w:szCs w:val="36"/>
          <w:lang w:val="en-US" w:eastAsia="zh-CN" w:bidi="ar-SA"/>
        </w:rPr>
        <w:t xml:space="preserve"> </w:t>
      </w:r>
      <w:r>
        <w:rPr>
          <w:rFonts w:hint="default" w:ascii="Times New Roman" w:hAnsi="Times New Roman" w:eastAsia="Malgun Gothic" w:cs="Times New Roman"/>
          <w:sz w:val="36"/>
          <w:szCs w:val="36"/>
          <w:lang w:val="en-US" w:eastAsia="zh-CN" w:bidi="ar-SA"/>
        </w:rPr>
        <w:t>References</w:t>
      </w:r>
    </w:p>
    <w:p>
      <w:pPr>
        <w:numPr>
          <w:ilvl w:val="0"/>
          <w:numId w:val="14"/>
        </w:numPr>
        <w:bidi w:val="0"/>
        <w:rPr>
          <w:rFonts w:hint="default"/>
          <w:lang w:val="en-US" w:eastAsia="zh-CN"/>
        </w:rPr>
      </w:pPr>
      <w:r>
        <w:rPr>
          <w:rFonts w:hint="default"/>
          <w:lang w:val="en-US" w:eastAsia="zh-CN"/>
        </w:rPr>
        <w:t>RP-234065, New WID: Enhancements of network energy savings for NR, Ericsson (moderator), 3GPP TSG RAN Meeting #102, Edinburgh, Scotland, December 11-15, 2023.</w:t>
      </w:r>
    </w:p>
    <w:p>
      <w:pPr>
        <w:numPr>
          <w:ilvl w:val="0"/>
          <w:numId w:val="14"/>
        </w:numPr>
        <w:bidi w:val="0"/>
      </w:pPr>
      <w:r>
        <w:rPr>
          <w:rFonts w:hint="default"/>
          <w:lang w:val="en-US" w:eastAsia="zh-CN"/>
        </w:rPr>
        <w:t>TR38.864, Study on network energy savings for NR, Release 18.</w:t>
      </w:r>
    </w:p>
    <w:sectPr>
      <w:pgSz w:w="11909" w:h="16834"/>
      <w:pgMar w:top="1134" w:right="1134" w:bottom="1134" w:left="19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바탕">
    <w:altName w:val="苹方-简"/>
    <w:panose1 w:val="02030600000101010101"/>
    <w:charset w:val="00"/>
    <w:family w:val="roman"/>
    <w:pitch w:val="default"/>
    <w:sig w:usb0="00000000" w:usb1="00000000" w:usb2="00000030" w:usb3="00000000" w:csb0="0008009F" w:csb1="00000000"/>
  </w:font>
  <w:font w:name="Malgun Gothic">
    <w:altName w:val="Apple SD Gothic Neo"/>
    <w:panose1 w:val="020B0503020000020004"/>
    <w:charset w:val="00"/>
    <w:family w:val="modern"/>
    <w:pitch w:val="default"/>
    <w:sig w:usb0="00000000" w:usb1="00000000" w:usb2="00000012" w:usb3="00000000" w:csb0="00080001" w:csb1="00000000"/>
  </w:font>
  <w:font w:name="KaiTi_GB2312">
    <w:altName w:val="苹方-简"/>
    <w:panose1 w:val="020B0604020202020204"/>
    <w:charset w:val="00"/>
    <w:family w:val="modern"/>
    <w:pitch w:val="default"/>
    <w:sig w:usb0="00000000" w:usb1="00000000" w:usb2="00000010" w:usb3="00000000" w:csb0="00040000" w:csb1="00000000"/>
  </w:font>
  <w:font w:name="MS Gothic">
    <w:altName w:val="苹方-简"/>
    <w:panose1 w:val="020B0609070205080204"/>
    <w:charset w:val="0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0" w:usb3="00000000" w:csb0="00040001" w:csb1="00000000"/>
  </w:font>
  <w:font w:name="Symbol">
    <w:altName w:val="Kingsoft Sign"/>
    <w:panose1 w:val="05050102010706020507"/>
    <w:charset w:val="00"/>
    <w:family w:val="roman"/>
    <w:pitch w:val="default"/>
    <w:sig w:usb0="00000000" w:usb1="00000000" w:usb2="00000000" w:usb3="00000000" w:csb0="80000000" w:csb1="00000000"/>
  </w:font>
  <w:font w:name="MS Mincho">
    <w:altName w:val="Hiragino Sans"/>
    <w:panose1 w:val="02020609040205080304"/>
    <w:charset w:val="00"/>
    <w:family w:val="modern"/>
    <w:pitch w:val="default"/>
    <w:sig w:usb0="00000000" w:usb1="00000000" w:usb2="08000012" w:usb3="00000000" w:csb0="0002009F" w:csb1="00000000"/>
  </w:font>
  <w:font w:name="lucida grande">
    <w:panose1 w:val="020B0600040502020204"/>
    <w:charset w:val="00"/>
    <w:family w:val="auto"/>
    <w:pitch w:val="default"/>
    <w:sig w:usb0="E1000AEF" w:usb1="5000A1FF" w:usb2="00000000" w:usb3="00000000" w:csb0="200001BF" w:csb1="4F010000"/>
  </w:font>
  <w:font w:name="Helvetica Neue">
    <w:panose1 w:val="02000503000000020004"/>
    <w:charset w:val="00"/>
    <w:family w:val="auto"/>
    <w:pitch w:val="default"/>
    <w:sig w:usb0="E50002FF" w:usb1="500079DB" w:usb2="00000010" w:usb3="00000000" w:csb0="00000000" w:csb1="00000000"/>
  </w:font>
  <w:font w:name="Times New Roman Italic">
    <w:panose1 w:val="02020603050405020304"/>
    <w:charset w:val="00"/>
    <w:family w:val="auto"/>
    <w:pitch w:val="default"/>
    <w:sig w:usb0="E0002AEF" w:usb1="C0007841" w:usb2="00000009" w:usb3="00000000" w:csb0="400001FF" w:csb1="FFFF0000"/>
  </w:font>
  <w:font w:name="等线">
    <w:altName w:val="汉仪中等线KW"/>
    <w:panose1 w:val="02010600030101010101"/>
    <w:charset w:val="86"/>
    <w:family w:val="auto"/>
    <w:pitch w:val="default"/>
    <w:sig w:usb0="00000000" w:usb1="00000000" w:usb2="00000016" w:usb3="00000000" w:csb0="0004000F" w:csb1="00000000"/>
  </w:font>
  <w:font w:name="Times New Roman Bold">
    <w:panose1 w:val="02020603050405020304"/>
    <w:charset w:val="00"/>
    <w:family w:val="auto"/>
    <w:pitch w:val="default"/>
    <w:sig w:usb0="E0002AEF" w:usb1="C0007841" w:usb2="00000009" w:usb3="00000000" w:csb0="400001FF" w:csb1="FFFF0000"/>
  </w:font>
  <w:font w:name="Batang">
    <w:altName w:val="Apple SD Gothic Neo"/>
    <w:panose1 w:val="02030600000101010101"/>
    <w:charset w:val="81"/>
    <w:family w:val="roman"/>
    <w:pitch w:val="default"/>
    <w:sig w:usb0="00000000" w:usb1="00000000" w:usb2="00000030" w:usb3="00000000" w:csb0="0008009F" w:csb1="00000000"/>
  </w:font>
  <w:font w:name="汉仪书宋二KW">
    <w:panose1 w:val="00020600040101010101"/>
    <w:charset w:val="86"/>
    <w:family w:val="auto"/>
    <w:pitch w:val="default"/>
    <w:sig w:usb0="A00002BF" w:usb1="18EF7CFA" w:usb2="00000016" w:usb3="00000000" w:csb0="00040000" w:csb1="00000000"/>
  </w:font>
  <w:font w:name="Apple SD Gothic Neo">
    <w:panose1 w:val="02000300000000000000"/>
    <w:charset w:val="81"/>
    <w:family w:val="auto"/>
    <w:pitch w:val="default"/>
    <w:sig w:usb0="00000203" w:usb1="21D12C10" w:usb2="00000010" w:usb3="00000000" w:csb0="00280005" w:csb1="00000000"/>
  </w:font>
  <w:font w:name=".AppleSystemUIFont">
    <w:altName w:val="苹方-简"/>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AFF" w:usb1="C000605B" w:usb2="00000029" w:usb3="00000000" w:csb0="200101FF" w:csb1="2028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iragino Sans">
    <w:panose1 w:val="020B0300000000000000"/>
    <w:charset w:val="80"/>
    <w:family w:val="auto"/>
    <w:pitch w:val="default"/>
    <w:sig w:usb0="E00002FF" w:usb1="7AE7FFFF" w:usb2="00000012" w:usb3="00000000" w:csb0="0002000D" w:csb1="00000000"/>
  </w:font>
  <w:font w:name="汉仪中等线KW">
    <w:panose1 w:val="01010104010101010101"/>
    <w:charset w:val="86"/>
    <w:family w:val="auto"/>
    <w:pitch w:val="default"/>
    <w:sig w:usb0="800002BF" w:usb1="004F7CFA"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B7BA99"/>
    <w:multiLevelType w:val="singleLevel"/>
    <w:tmpl w:val="B3B7BA99"/>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
    <w:nsid w:val="B76CFDF5"/>
    <w:multiLevelType w:val="singleLevel"/>
    <w:tmpl w:val="B76CFDF5"/>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2">
    <w:nsid w:val="CFF7BF24"/>
    <w:multiLevelType w:val="singleLevel"/>
    <w:tmpl w:val="CFF7BF24"/>
    <w:lvl w:ilvl="0" w:tentative="0">
      <w:start w:val="3"/>
      <w:numFmt w:val="decimal"/>
      <w:suff w:val="space"/>
      <w:lvlText w:val="%1."/>
      <w:lvlJc w:val="left"/>
    </w:lvl>
  </w:abstractNum>
  <w:abstractNum w:abstractNumId="3">
    <w:nsid w:val="DBEE2A15"/>
    <w:multiLevelType w:val="singleLevel"/>
    <w:tmpl w:val="DBEE2A15"/>
    <w:lvl w:ilvl="0" w:tentative="0">
      <w:start w:val="1"/>
      <w:numFmt w:val="bullet"/>
      <w:lvlText w:val="−"/>
      <w:lvlJc w:val="left"/>
      <w:pPr>
        <w:tabs>
          <w:tab w:val="left" w:pos="840"/>
        </w:tabs>
        <w:ind w:left="838" w:leftChars="0" w:hanging="418" w:firstLineChars="0"/>
      </w:pPr>
      <w:rPr>
        <w:rFonts w:hint="default" w:ascii="Arial" w:hAnsi="Arial" w:cs="Arial"/>
      </w:rPr>
    </w:lvl>
  </w:abstractNum>
  <w:abstractNum w:abstractNumId="4">
    <w:nsid w:val="EFF45439"/>
    <w:multiLevelType w:val="singleLevel"/>
    <w:tmpl w:val="EFF45439"/>
    <w:lvl w:ilvl="0" w:tentative="0">
      <w:start w:val="1"/>
      <w:numFmt w:val="decimal"/>
      <w:suff w:val="space"/>
      <w:lvlText w:val="[%1]"/>
      <w:lvlJc w:val="left"/>
    </w:lvl>
  </w:abstractNum>
  <w:abstractNum w:abstractNumId="5">
    <w:nsid w:val="F8DB5926"/>
    <w:multiLevelType w:val="singleLevel"/>
    <w:tmpl w:val="F8DB5926"/>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6">
    <w:nsid w:val="FD7F1BD6"/>
    <w:multiLevelType w:val="singleLevel"/>
    <w:tmpl w:val="FD7F1BD6"/>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7">
    <w:nsid w:val="FF7B40FC"/>
    <w:multiLevelType w:val="multilevel"/>
    <w:tmpl w:val="FF7B40FC"/>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cs="Times New Roman"/>
        <w:i w:val="0"/>
        <w:iCs w:val="0"/>
        <w:caps w:val="0"/>
        <w:smallCaps w:val="0"/>
        <w:strike w:val="0"/>
        <w:dstrike w:val="0"/>
        <w:outline w:val="0"/>
        <w:shadow w:val="0"/>
        <w:emboss w:val="0"/>
        <w:imprint w:val="0"/>
        <w:vanish w:val="0"/>
        <w:spacing w:val="0"/>
        <w:position w:val="0"/>
        <w:u w:val="none"/>
        <w:vertAlign w:val="baseline"/>
      </w:rPr>
    </w:lvl>
    <w:lvl w:ilvl="3" w:tentative="0">
      <w:start w:val="1"/>
      <w:numFmt w:val="decimal"/>
      <w:pStyle w:val="5"/>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u w:val="none"/>
        <w:vertAlign w:val="baseline"/>
        <w:lang w:val="en-US"/>
      </w:rPr>
    </w:lvl>
    <w:lvl w:ilvl="4" w:tentative="0">
      <w:start w:val="1"/>
      <w:numFmt w:val="decimal"/>
      <w:pStyle w:val="6"/>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u w:val="none"/>
        <w:vertAlign w:val="baseline"/>
      </w:rPr>
    </w:lvl>
    <w:lvl w:ilvl="5" w:tentative="0">
      <w:start w:val="1"/>
      <w:numFmt w:val="decimal"/>
      <w:pStyle w:val="7"/>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u w:val="none"/>
        <w:vertAlign w:val="baseline"/>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8">
    <w:nsid w:val="FFFFD4AA"/>
    <w:multiLevelType w:val="singleLevel"/>
    <w:tmpl w:val="FFFFD4AA"/>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9">
    <w:nsid w:val="02552047"/>
    <w:multiLevelType w:val="multilevel"/>
    <w:tmpl w:val="02552047"/>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US"/>
      </w:rPr>
    </w:lvl>
    <w:lvl w:ilvl="2" w:tentative="0">
      <w:start w:val="1"/>
      <w:numFmt w:val="decimal"/>
      <w:lvlText w:val="%1.%2.%3"/>
      <w:lvlJc w:val="left"/>
      <w:pPr>
        <w:tabs>
          <w:tab w:val="left" w:pos="720"/>
        </w:tabs>
        <w:ind w:left="720" w:hanging="720"/>
      </w:pPr>
      <w:rPr>
        <w:rFonts w:hint="default"/>
        <w:sz w:val="28"/>
        <w:szCs w:val="28"/>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0">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38"/>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59E57000"/>
    <w:multiLevelType w:val="multilevel"/>
    <w:tmpl w:val="59E57000"/>
    <w:lvl w:ilvl="0" w:tentative="0">
      <w:start w:val="1"/>
      <w:numFmt w:val="bullet"/>
      <w:lvlText w:val=""/>
      <w:lvlJc w:val="left"/>
      <w:pPr>
        <w:tabs>
          <w:tab w:val="left" w:pos="420"/>
        </w:tabs>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2">
    <w:nsid w:val="6DEF7F55"/>
    <w:multiLevelType w:val="singleLevel"/>
    <w:tmpl w:val="6DEF7F55"/>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3">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7"/>
  </w:num>
  <w:num w:numId="2">
    <w:abstractNumId w:val="10"/>
  </w:num>
  <w:num w:numId="3">
    <w:abstractNumId w:val="9"/>
  </w:num>
  <w:num w:numId="4">
    <w:abstractNumId w:val="2"/>
  </w:num>
  <w:num w:numId="5">
    <w:abstractNumId w:val="13"/>
  </w:num>
  <w:num w:numId="6">
    <w:abstractNumId w:val="11"/>
  </w:num>
  <w:num w:numId="7">
    <w:abstractNumId w:val="3"/>
  </w:num>
  <w:num w:numId="8">
    <w:abstractNumId w:val="6"/>
  </w:num>
  <w:num w:numId="9">
    <w:abstractNumId w:val="8"/>
  </w:num>
  <w:num w:numId="10">
    <w:abstractNumId w:val="1"/>
  </w:num>
  <w:num w:numId="11">
    <w:abstractNumId w:val="0"/>
  </w:num>
  <w:num w:numId="12">
    <w:abstractNumId w:val="12"/>
  </w:num>
  <w:num w:numId="13">
    <w:abstractNumId w:val="5"/>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doNotDisplayPageBoundaries w:val="1"/>
  <w:bordersDoNotSurroundHeader w:val="0"/>
  <w:bordersDoNotSurroundFooter w:val="0"/>
  <w:documentProtection w:enforcement="0"/>
  <w:defaultTabStop w:val="799"/>
  <w:hyphenationZone w:val="360"/>
  <w:displayHorizontalDrawingGridEvery w:val="1"/>
  <w:displayVerticalDrawingGridEvery w:val="1"/>
  <w:noPunctuationKerning w:val="1"/>
  <w:characterSpacingControl w:val="doNotCompress"/>
  <w:footnotePr>
    <w:footnote w:id="0"/>
    <w:footnote w:id="1"/>
  </w:footnotePr>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EEA"/>
    <w:rsid w:val="000049DC"/>
    <w:rsid w:val="00006E91"/>
    <w:rsid w:val="0001459F"/>
    <w:rsid w:val="00014DC2"/>
    <w:rsid w:val="000154E8"/>
    <w:rsid w:val="00016171"/>
    <w:rsid w:val="000206F5"/>
    <w:rsid w:val="00021963"/>
    <w:rsid w:val="00021A46"/>
    <w:rsid w:val="00027418"/>
    <w:rsid w:val="00035C3D"/>
    <w:rsid w:val="00041FB7"/>
    <w:rsid w:val="000443F7"/>
    <w:rsid w:val="0005011F"/>
    <w:rsid w:val="00052672"/>
    <w:rsid w:val="000527DB"/>
    <w:rsid w:val="00052ACE"/>
    <w:rsid w:val="00053611"/>
    <w:rsid w:val="00054572"/>
    <w:rsid w:val="00054DD5"/>
    <w:rsid w:val="00060542"/>
    <w:rsid w:val="000605DA"/>
    <w:rsid w:val="00060C6D"/>
    <w:rsid w:val="00070E52"/>
    <w:rsid w:val="00073C45"/>
    <w:rsid w:val="00074A3E"/>
    <w:rsid w:val="00076C50"/>
    <w:rsid w:val="000809D1"/>
    <w:rsid w:val="000845D8"/>
    <w:rsid w:val="000846FA"/>
    <w:rsid w:val="00084952"/>
    <w:rsid w:val="00085529"/>
    <w:rsid w:val="000A0641"/>
    <w:rsid w:val="000B3CBE"/>
    <w:rsid w:val="000B6706"/>
    <w:rsid w:val="000C256E"/>
    <w:rsid w:val="000C401F"/>
    <w:rsid w:val="000C47DE"/>
    <w:rsid w:val="000C4860"/>
    <w:rsid w:val="000C748B"/>
    <w:rsid w:val="000C74E2"/>
    <w:rsid w:val="000D241E"/>
    <w:rsid w:val="000D242E"/>
    <w:rsid w:val="000D698F"/>
    <w:rsid w:val="000E474A"/>
    <w:rsid w:val="000E5BCB"/>
    <w:rsid w:val="000E67A5"/>
    <w:rsid w:val="001018D5"/>
    <w:rsid w:val="0010230E"/>
    <w:rsid w:val="00111908"/>
    <w:rsid w:val="00120884"/>
    <w:rsid w:val="00130389"/>
    <w:rsid w:val="00131CB0"/>
    <w:rsid w:val="00132CBE"/>
    <w:rsid w:val="001376F6"/>
    <w:rsid w:val="00146D61"/>
    <w:rsid w:val="00156174"/>
    <w:rsid w:val="001671FB"/>
    <w:rsid w:val="00167B43"/>
    <w:rsid w:val="00176791"/>
    <w:rsid w:val="001777C6"/>
    <w:rsid w:val="0018004F"/>
    <w:rsid w:val="00181906"/>
    <w:rsid w:val="00182437"/>
    <w:rsid w:val="00184862"/>
    <w:rsid w:val="00185777"/>
    <w:rsid w:val="00186520"/>
    <w:rsid w:val="0019426E"/>
    <w:rsid w:val="001A235A"/>
    <w:rsid w:val="001A3FB4"/>
    <w:rsid w:val="001B3F4E"/>
    <w:rsid w:val="001C0BAC"/>
    <w:rsid w:val="001C12B4"/>
    <w:rsid w:val="001C40D9"/>
    <w:rsid w:val="001C5621"/>
    <w:rsid w:val="001C74BE"/>
    <w:rsid w:val="001D150F"/>
    <w:rsid w:val="001D41B7"/>
    <w:rsid w:val="001D52A5"/>
    <w:rsid w:val="001D6F38"/>
    <w:rsid w:val="001D7AE8"/>
    <w:rsid w:val="001F05DC"/>
    <w:rsid w:val="001F0B04"/>
    <w:rsid w:val="001F20E5"/>
    <w:rsid w:val="001F2C8F"/>
    <w:rsid w:val="001F3669"/>
    <w:rsid w:val="001F37C1"/>
    <w:rsid w:val="00202C71"/>
    <w:rsid w:val="00206F84"/>
    <w:rsid w:val="00210B7B"/>
    <w:rsid w:val="00211448"/>
    <w:rsid w:val="0021214B"/>
    <w:rsid w:val="00214F2A"/>
    <w:rsid w:val="00217699"/>
    <w:rsid w:val="00221E20"/>
    <w:rsid w:val="00222232"/>
    <w:rsid w:val="00225EB9"/>
    <w:rsid w:val="002318A4"/>
    <w:rsid w:val="00237671"/>
    <w:rsid w:val="002403C8"/>
    <w:rsid w:val="002418CB"/>
    <w:rsid w:val="00246843"/>
    <w:rsid w:val="00246C5D"/>
    <w:rsid w:val="00247983"/>
    <w:rsid w:val="0025116B"/>
    <w:rsid w:val="00251A50"/>
    <w:rsid w:val="0025466B"/>
    <w:rsid w:val="00255925"/>
    <w:rsid w:val="00255966"/>
    <w:rsid w:val="00256228"/>
    <w:rsid w:val="0025787C"/>
    <w:rsid w:val="00265760"/>
    <w:rsid w:val="00271586"/>
    <w:rsid w:val="00271CD9"/>
    <w:rsid w:val="0027358D"/>
    <w:rsid w:val="00274937"/>
    <w:rsid w:val="00277FBD"/>
    <w:rsid w:val="00282066"/>
    <w:rsid w:val="00282E2C"/>
    <w:rsid w:val="00293C36"/>
    <w:rsid w:val="00293DB3"/>
    <w:rsid w:val="0029433B"/>
    <w:rsid w:val="0029757E"/>
    <w:rsid w:val="00297DD6"/>
    <w:rsid w:val="002A1E7D"/>
    <w:rsid w:val="002B08E6"/>
    <w:rsid w:val="002B1FFA"/>
    <w:rsid w:val="002B2B40"/>
    <w:rsid w:val="002B32DD"/>
    <w:rsid w:val="002B4B78"/>
    <w:rsid w:val="002B4D11"/>
    <w:rsid w:val="002B544D"/>
    <w:rsid w:val="002B6E04"/>
    <w:rsid w:val="002B6E21"/>
    <w:rsid w:val="002C2567"/>
    <w:rsid w:val="002C5DF1"/>
    <w:rsid w:val="002C7702"/>
    <w:rsid w:val="002D0410"/>
    <w:rsid w:val="002D1A27"/>
    <w:rsid w:val="002D4D40"/>
    <w:rsid w:val="002D5218"/>
    <w:rsid w:val="002E1DF6"/>
    <w:rsid w:val="002F0759"/>
    <w:rsid w:val="002F2880"/>
    <w:rsid w:val="002F4411"/>
    <w:rsid w:val="002F5259"/>
    <w:rsid w:val="002F57D7"/>
    <w:rsid w:val="002F7271"/>
    <w:rsid w:val="00304116"/>
    <w:rsid w:val="0030546D"/>
    <w:rsid w:val="0032089E"/>
    <w:rsid w:val="0032301D"/>
    <w:rsid w:val="003230FF"/>
    <w:rsid w:val="0032415B"/>
    <w:rsid w:val="003269DE"/>
    <w:rsid w:val="0033037F"/>
    <w:rsid w:val="00343017"/>
    <w:rsid w:val="00343A55"/>
    <w:rsid w:val="00345EEA"/>
    <w:rsid w:val="003521DB"/>
    <w:rsid w:val="003544C1"/>
    <w:rsid w:val="00357973"/>
    <w:rsid w:val="00360760"/>
    <w:rsid w:val="0036084B"/>
    <w:rsid w:val="00361E6E"/>
    <w:rsid w:val="00364947"/>
    <w:rsid w:val="003653F4"/>
    <w:rsid w:val="00365442"/>
    <w:rsid w:val="00367149"/>
    <w:rsid w:val="00371B1E"/>
    <w:rsid w:val="0037212B"/>
    <w:rsid w:val="00373044"/>
    <w:rsid w:val="003734D3"/>
    <w:rsid w:val="00377C65"/>
    <w:rsid w:val="003805D1"/>
    <w:rsid w:val="00382427"/>
    <w:rsid w:val="00382901"/>
    <w:rsid w:val="00387499"/>
    <w:rsid w:val="00390B6E"/>
    <w:rsid w:val="00391B3E"/>
    <w:rsid w:val="00391D63"/>
    <w:rsid w:val="00392A3A"/>
    <w:rsid w:val="00394AC8"/>
    <w:rsid w:val="003957ED"/>
    <w:rsid w:val="00397A6D"/>
    <w:rsid w:val="003A135F"/>
    <w:rsid w:val="003A4607"/>
    <w:rsid w:val="003B0BF8"/>
    <w:rsid w:val="003B3DC0"/>
    <w:rsid w:val="003B6548"/>
    <w:rsid w:val="003C3033"/>
    <w:rsid w:val="003C4584"/>
    <w:rsid w:val="003D33A8"/>
    <w:rsid w:val="003D7BDA"/>
    <w:rsid w:val="003E0305"/>
    <w:rsid w:val="003E04E9"/>
    <w:rsid w:val="003E35DC"/>
    <w:rsid w:val="003E6A3A"/>
    <w:rsid w:val="003E7642"/>
    <w:rsid w:val="003F4797"/>
    <w:rsid w:val="003F47B5"/>
    <w:rsid w:val="004003E8"/>
    <w:rsid w:val="0040222B"/>
    <w:rsid w:val="004022CC"/>
    <w:rsid w:val="00403018"/>
    <w:rsid w:val="004109C3"/>
    <w:rsid w:val="00414181"/>
    <w:rsid w:val="0041782C"/>
    <w:rsid w:val="004206FA"/>
    <w:rsid w:val="004213CE"/>
    <w:rsid w:val="004223F1"/>
    <w:rsid w:val="00424AFD"/>
    <w:rsid w:val="00431123"/>
    <w:rsid w:val="00431E83"/>
    <w:rsid w:val="00432F62"/>
    <w:rsid w:val="0043707E"/>
    <w:rsid w:val="00437B5E"/>
    <w:rsid w:val="0044004B"/>
    <w:rsid w:val="00455581"/>
    <w:rsid w:val="004604FD"/>
    <w:rsid w:val="00460D00"/>
    <w:rsid w:val="00460DBF"/>
    <w:rsid w:val="00462878"/>
    <w:rsid w:val="00462BD0"/>
    <w:rsid w:val="00471F19"/>
    <w:rsid w:val="00474298"/>
    <w:rsid w:val="0048214B"/>
    <w:rsid w:val="004826E7"/>
    <w:rsid w:val="0049013E"/>
    <w:rsid w:val="004902E0"/>
    <w:rsid w:val="00490947"/>
    <w:rsid w:val="004910AC"/>
    <w:rsid w:val="004945F3"/>
    <w:rsid w:val="004952EA"/>
    <w:rsid w:val="004A2F9D"/>
    <w:rsid w:val="004A5270"/>
    <w:rsid w:val="004B1BEE"/>
    <w:rsid w:val="004C20CB"/>
    <w:rsid w:val="004C2920"/>
    <w:rsid w:val="004C431C"/>
    <w:rsid w:val="004C5181"/>
    <w:rsid w:val="004C6C1E"/>
    <w:rsid w:val="004C7A79"/>
    <w:rsid w:val="004D31D3"/>
    <w:rsid w:val="004E14BC"/>
    <w:rsid w:val="004E1DF7"/>
    <w:rsid w:val="004E40C3"/>
    <w:rsid w:val="004E4F65"/>
    <w:rsid w:val="004F344E"/>
    <w:rsid w:val="00501F57"/>
    <w:rsid w:val="00502853"/>
    <w:rsid w:val="00510090"/>
    <w:rsid w:val="005104F5"/>
    <w:rsid w:val="00511D3D"/>
    <w:rsid w:val="00514701"/>
    <w:rsid w:val="00514C06"/>
    <w:rsid w:val="00516B1D"/>
    <w:rsid w:val="00521FA7"/>
    <w:rsid w:val="005220E4"/>
    <w:rsid w:val="00545925"/>
    <w:rsid w:val="00546BEF"/>
    <w:rsid w:val="00547AEB"/>
    <w:rsid w:val="005519E2"/>
    <w:rsid w:val="00553E3A"/>
    <w:rsid w:val="00554166"/>
    <w:rsid w:val="00554E95"/>
    <w:rsid w:val="005551A3"/>
    <w:rsid w:val="00556A4D"/>
    <w:rsid w:val="005634EC"/>
    <w:rsid w:val="0056693D"/>
    <w:rsid w:val="00570536"/>
    <w:rsid w:val="0057060B"/>
    <w:rsid w:val="00571A20"/>
    <w:rsid w:val="00571B80"/>
    <w:rsid w:val="0057342F"/>
    <w:rsid w:val="005765F4"/>
    <w:rsid w:val="00585CC3"/>
    <w:rsid w:val="00587DE1"/>
    <w:rsid w:val="00591F23"/>
    <w:rsid w:val="00592F3B"/>
    <w:rsid w:val="005936B6"/>
    <w:rsid w:val="00593A44"/>
    <w:rsid w:val="0059417F"/>
    <w:rsid w:val="00595848"/>
    <w:rsid w:val="00595D38"/>
    <w:rsid w:val="005B18C2"/>
    <w:rsid w:val="005B25BC"/>
    <w:rsid w:val="005B2683"/>
    <w:rsid w:val="005B6D21"/>
    <w:rsid w:val="005C3943"/>
    <w:rsid w:val="005C595C"/>
    <w:rsid w:val="005D4467"/>
    <w:rsid w:val="005E1E3F"/>
    <w:rsid w:val="005E4C37"/>
    <w:rsid w:val="005F1309"/>
    <w:rsid w:val="005F222D"/>
    <w:rsid w:val="00600CA7"/>
    <w:rsid w:val="0060301B"/>
    <w:rsid w:val="0060331A"/>
    <w:rsid w:val="00603782"/>
    <w:rsid w:val="00603E0B"/>
    <w:rsid w:val="00606731"/>
    <w:rsid w:val="006103E1"/>
    <w:rsid w:val="00613ABD"/>
    <w:rsid w:val="006147B1"/>
    <w:rsid w:val="0061561D"/>
    <w:rsid w:val="00623D44"/>
    <w:rsid w:val="0062423E"/>
    <w:rsid w:val="0062486E"/>
    <w:rsid w:val="00636884"/>
    <w:rsid w:val="00640051"/>
    <w:rsid w:val="00642348"/>
    <w:rsid w:val="00645247"/>
    <w:rsid w:val="00645CFD"/>
    <w:rsid w:val="00645E6A"/>
    <w:rsid w:val="006509B2"/>
    <w:rsid w:val="0065303B"/>
    <w:rsid w:val="00655E80"/>
    <w:rsid w:val="00666238"/>
    <w:rsid w:val="00674C16"/>
    <w:rsid w:val="0067658D"/>
    <w:rsid w:val="00683E76"/>
    <w:rsid w:val="00683F5D"/>
    <w:rsid w:val="00690502"/>
    <w:rsid w:val="00691D5A"/>
    <w:rsid w:val="00691E9D"/>
    <w:rsid w:val="0069331A"/>
    <w:rsid w:val="0069341C"/>
    <w:rsid w:val="0069360C"/>
    <w:rsid w:val="0069635A"/>
    <w:rsid w:val="006A3605"/>
    <w:rsid w:val="006A65B1"/>
    <w:rsid w:val="006A7CA7"/>
    <w:rsid w:val="006B2A42"/>
    <w:rsid w:val="006B2FA0"/>
    <w:rsid w:val="006B3BB5"/>
    <w:rsid w:val="006C3F49"/>
    <w:rsid w:val="006C7A4B"/>
    <w:rsid w:val="006D7A0E"/>
    <w:rsid w:val="006E5673"/>
    <w:rsid w:val="006F1592"/>
    <w:rsid w:val="006F4666"/>
    <w:rsid w:val="007003FC"/>
    <w:rsid w:val="007011E2"/>
    <w:rsid w:val="007040C1"/>
    <w:rsid w:val="00704829"/>
    <w:rsid w:val="00704D87"/>
    <w:rsid w:val="00705161"/>
    <w:rsid w:val="00706A1F"/>
    <w:rsid w:val="00720496"/>
    <w:rsid w:val="00721545"/>
    <w:rsid w:val="0072164E"/>
    <w:rsid w:val="0072399E"/>
    <w:rsid w:val="00726297"/>
    <w:rsid w:val="007308EC"/>
    <w:rsid w:val="00732E1C"/>
    <w:rsid w:val="007333B3"/>
    <w:rsid w:val="00734CBF"/>
    <w:rsid w:val="0073548C"/>
    <w:rsid w:val="00735851"/>
    <w:rsid w:val="007366AA"/>
    <w:rsid w:val="00737671"/>
    <w:rsid w:val="007436B8"/>
    <w:rsid w:val="00750E49"/>
    <w:rsid w:val="00756874"/>
    <w:rsid w:val="00757025"/>
    <w:rsid w:val="0075736E"/>
    <w:rsid w:val="00760E00"/>
    <w:rsid w:val="00763C91"/>
    <w:rsid w:val="00764B12"/>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2320"/>
    <w:rsid w:val="007924C0"/>
    <w:rsid w:val="00792DD6"/>
    <w:rsid w:val="007948B6"/>
    <w:rsid w:val="007A210A"/>
    <w:rsid w:val="007A24A4"/>
    <w:rsid w:val="007A28A6"/>
    <w:rsid w:val="007A5238"/>
    <w:rsid w:val="007A6225"/>
    <w:rsid w:val="007B25A3"/>
    <w:rsid w:val="007B36DB"/>
    <w:rsid w:val="007B7AAC"/>
    <w:rsid w:val="007B7F47"/>
    <w:rsid w:val="007C2703"/>
    <w:rsid w:val="007C3C20"/>
    <w:rsid w:val="007C6301"/>
    <w:rsid w:val="007D016A"/>
    <w:rsid w:val="007E116C"/>
    <w:rsid w:val="007E3014"/>
    <w:rsid w:val="007E5906"/>
    <w:rsid w:val="007E5EE9"/>
    <w:rsid w:val="007F21CD"/>
    <w:rsid w:val="007F2445"/>
    <w:rsid w:val="007F7593"/>
    <w:rsid w:val="007F7DC7"/>
    <w:rsid w:val="008009D3"/>
    <w:rsid w:val="0080283D"/>
    <w:rsid w:val="00804F68"/>
    <w:rsid w:val="00807555"/>
    <w:rsid w:val="008120B3"/>
    <w:rsid w:val="00813F2B"/>
    <w:rsid w:val="00821F2C"/>
    <w:rsid w:val="00826C23"/>
    <w:rsid w:val="00827B33"/>
    <w:rsid w:val="00832C0D"/>
    <w:rsid w:val="00832EF8"/>
    <w:rsid w:val="00853E28"/>
    <w:rsid w:val="008543CB"/>
    <w:rsid w:val="00854556"/>
    <w:rsid w:val="0085677D"/>
    <w:rsid w:val="00864E0E"/>
    <w:rsid w:val="0087282C"/>
    <w:rsid w:val="00874888"/>
    <w:rsid w:val="0087629E"/>
    <w:rsid w:val="00876A87"/>
    <w:rsid w:val="00876F3C"/>
    <w:rsid w:val="00877EDD"/>
    <w:rsid w:val="00882022"/>
    <w:rsid w:val="00884ADD"/>
    <w:rsid w:val="0088611D"/>
    <w:rsid w:val="00896910"/>
    <w:rsid w:val="00896BCB"/>
    <w:rsid w:val="0089715E"/>
    <w:rsid w:val="008A34F1"/>
    <w:rsid w:val="008A4FFD"/>
    <w:rsid w:val="008B4981"/>
    <w:rsid w:val="008C58BE"/>
    <w:rsid w:val="008C655F"/>
    <w:rsid w:val="008C6F30"/>
    <w:rsid w:val="008C753E"/>
    <w:rsid w:val="008D31DC"/>
    <w:rsid w:val="008D323F"/>
    <w:rsid w:val="008D32AD"/>
    <w:rsid w:val="008D34CA"/>
    <w:rsid w:val="008D36EE"/>
    <w:rsid w:val="008E2992"/>
    <w:rsid w:val="008E3830"/>
    <w:rsid w:val="008F04BE"/>
    <w:rsid w:val="008F621B"/>
    <w:rsid w:val="008F7720"/>
    <w:rsid w:val="008F7C25"/>
    <w:rsid w:val="0090517A"/>
    <w:rsid w:val="009075A4"/>
    <w:rsid w:val="009103DB"/>
    <w:rsid w:val="00911042"/>
    <w:rsid w:val="009117D5"/>
    <w:rsid w:val="0091240F"/>
    <w:rsid w:val="0091254E"/>
    <w:rsid w:val="00913EE3"/>
    <w:rsid w:val="009170A8"/>
    <w:rsid w:val="0092050C"/>
    <w:rsid w:val="00924E2C"/>
    <w:rsid w:val="009278FF"/>
    <w:rsid w:val="00927F71"/>
    <w:rsid w:val="00930024"/>
    <w:rsid w:val="00931DD4"/>
    <w:rsid w:val="0093445B"/>
    <w:rsid w:val="009347F2"/>
    <w:rsid w:val="00937AE7"/>
    <w:rsid w:val="00937E20"/>
    <w:rsid w:val="009401DF"/>
    <w:rsid w:val="00943BDE"/>
    <w:rsid w:val="0094623B"/>
    <w:rsid w:val="00947247"/>
    <w:rsid w:val="009478AF"/>
    <w:rsid w:val="00951DCE"/>
    <w:rsid w:val="00952BD8"/>
    <w:rsid w:val="00953883"/>
    <w:rsid w:val="00954ED7"/>
    <w:rsid w:val="009559A2"/>
    <w:rsid w:val="00957FBE"/>
    <w:rsid w:val="00960785"/>
    <w:rsid w:val="00961DB4"/>
    <w:rsid w:val="009657DE"/>
    <w:rsid w:val="00967CFB"/>
    <w:rsid w:val="0097079E"/>
    <w:rsid w:val="00973F28"/>
    <w:rsid w:val="00973FA2"/>
    <w:rsid w:val="00981D9F"/>
    <w:rsid w:val="0098461A"/>
    <w:rsid w:val="00985935"/>
    <w:rsid w:val="009954CA"/>
    <w:rsid w:val="009A029F"/>
    <w:rsid w:val="009A02D8"/>
    <w:rsid w:val="009A5A09"/>
    <w:rsid w:val="009A6F45"/>
    <w:rsid w:val="009B1D77"/>
    <w:rsid w:val="009B1F2D"/>
    <w:rsid w:val="009B64D0"/>
    <w:rsid w:val="009C159F"/>
    <w:rsid w:val="009C2CD7"/>
    <w:rsid w:val="009C4B30"/>
    <w:rsid w:val="009D0A7F"/>
    <w:rsid w:val="009D11EC"/>
    <w:rsid w:val="009D25E3"/>
    <w:rsid w:val="009D49BC"/>
    <w:rsid w:val="009E0BBC"/>
    <w:rsid w:val="009E111F"/>
    <w:rsid w:val="009E2926"/>
    <w:rsid w:val="009E2F39"/>
    <w:rsid w:val="009E4019"/>
    <w:rsid w:val="009E45E5"/>
    <w:rsid w:val="009E4A2A"/>
    <w:rsid w:val="009E797F"/>
    <w:rsid w:val="009F020D"/>
    <w:rsid w:val="009F0DC3"/>
    <w:rsid w:val="009F4830"/>
    <w:rsid w:val="009F69FB"/>
    <w:rsid w:val="00A1200A"/>
    <w:rsid w:val="00A120D8"/>
    <w:rsid w:val="00A15BD6"/>
    <w:rsid w:val="00A16747"/>
    <w:rsid w:val="00A16B00"/>
    <w:rsid w:val="00A16B41"/>
    <w:rsid w:val="00A25C8A"/>
    <w:rsid w:val="00A301A7"/>
    <w:rsid w:val="00A31351"/>
    <w:rsid w:val="00A3604F"/>
    <w:rsid w:val="00A43A40"/>
    <w:rsid w:val="00A453E9"/>
    <w:rsid w:val="00A50048"/>
    <w:rsid w:val="00A5007F"/>
    <w:rsid w:val="00A5570E"/>
    <w:rsid w:val="00A55CF4"/>
    <w:rsid w:val="00A5611B"/>
    <w:rsid w:val="00A61E46"/>
    <w:rsid w:val="00A71D04"/>
    <w:rsid w:val="00A752B0"/>
    <w:rsid w:val="00A77EFD"/>
    <w:rsid w:val="00A80D3B"/>
    <w:rsid w:val="00A83B70"/>
    <w:rsid w:val="00A95126"/>
    <w:rsid w:val="00AA1F42"/>
    <w:rsid w:val="00AA341E"/>
    <w:rsid w:val="00AA5A65"/>
    <w:rsid w:val="00AA5C7C"/>
    <w:rsid w:val="00AB348F"/>
    <w:rsid w:val="00AB5CB1"/>
    <w:rsid w:val="00AC0C03"/>
    <w:rsid w:val="00AC278D"/>
    <w:rsid w:val="00AC5033"/>
    <w:rsid w:val="00AC7554"/>
    <w:rsid w:val="00AD2F16"/>
    <w:rsid w:val="00AD7C0A"/>
    <w:rsid w:val="00AE554F"/>
    <w:rsid w:val="00AF676F"/>
    <w:rsid w:val="00AF6EBE"/>
    <w:rsid w:val="00B057B7"/>
    <w:rsid w:val="00B13627"/>
    <w:rsid w:val="00B17047"/>
    <w:rsid w:val="00B20627"/>
    <w:rsid w:val="00B23921"/>
    <w:rsid w:val="00B26221"/>
    <w:rsid w:val="00B323DD"/>
    <w:rsid w:val="00B34798"/>
    <w:rsid w:val="00B34F32"/>
    <w:rsid w:val="00B3574E"/>
    <w:rsid w:val="00B40351"/>
    <w:rsid w:val="00B40D93"/>
    <w:rsid w:val="00B439FC"/>
    <w:rsid w:val="00B51372"/>
    <w:rsid w:val="00B51987"/>
    <w:rsid w:val="00B52708"/>
    <w:rsid w:val="00B529BC"/>
    <w:rsid w:val="00B55528"/>
    <w:rsid w:val="00B601DC"/>
    <w:rsid w:val="00B631FD"/>
    <w:rsid w:val="00B639F2"/>
    <w:rsid w:val="00B640E8"/>
    <w:rsid w:val="00B7219D"/>
    <w:rsid w:val="00B75DE1"/>
    <w:rsid w:val="00B80F17"/>
    <w:rsid w:val="00B906C7"/>
    <w:rsid w:val="00B97AAA"/>
    <w:rsid w:val="00BA3769"/>
    <w:rsid w:val="00BA74B0"/>
    <w:rsid w:val="00BB01E2"/>
    <w:rsid w:val="00BB52CF"/>
    <w:rsid w:val="00BB56DE"/>
    <w:rsid w:val="00BC0B79"/>
    <w:rsid w:val="00BC370E"/>
    <w:rsid w:val="00BC3D43"/>
    <w:rsid w:val="00BC75B5"/>
    <w:rsid w:val="00BD4762"/>
    <w:rsid w:val="00BD491D"/>
    <w:rsid w:val="00BD5E6D"/>
    <w:rsid w:val="00BD604C"/>
    <w:rsid w:val="00BF1F78"/>
    <w:rsid w:val="00BF4E0E"/>
    <w:rsid w:val="00BF539D"/>
    <w:rsid w:val="00BF6CE0"/>
    <w:rsid w:val="00BF7C28"/>
    <w:rsid w:val="00C001BC"/>
    <w:rsid w:val="00C05269"/>
    <w:rsid w:val="00C06576"/>
    <w:rsid w:val="00C10B1F"/>
    <w:rsid w:val="00C10F07"/>
    <w:rsid w:val="00C116BC"/>
    <w:rsid w:val="00C157E3"/>
    <w:rsid w:val="00C1663B"/>
    <w:rsid w:val="00C16B72"/>
    <w:rsid w:val="00C2739B"/>
    <w:rsid w:val="00C315AF"/>
    <w:rsid w:val="00C351CE"/>
    <w:rsid w:val="00C37194"/>
    <w:rsid w:val="00C418B6"/>
    <w:rsid w:val="00C447E1"/>
    <w:rsid w:val="00C44A5D"/>
    <w:rsid w:val="00C51723"/>
    <w:rsid w:val="00C54454"/>
    <w:rsid w:val="00C569CC"/>
    <w:rsid w:val="00C6529A"/>
    <w:rsid w:val="00C707D9"/>
    <w:rsid w:val="00C72E52"/>
    <w:rsid w:val="00C73A93"/>
    <w:rsid w:val="00C758A0"/>
    <w:rsid w:val="00C765A2"/>
    <w:rsid w:val="00C805C1"/>
    <w:rsid w:val="00C80E0B"/>
    <w:rsid w:val="00C84B47"/>
    <w:rsid w:val="00C86B16"/>
    <w:rsid w:val="00C878E9"/>
    <w:rsid w:val="00C96A17"/>
    <w:rsid w:val="00CA2E12"/>
    <w:rsid w:val="00CA3C7D"/>
    <w:rsid w:val="00CA3CA3"/>
    <w:rsid w:val="00CA4A7A"/>
    <w:rsid w:val="00CA6650"/>
    <w:rsid w:val="00CC3B1C"/>
    <w:rsid w:val="00CC4B34"/>
    <w:rsid w:val="00CC4FB3"/>
    <w:rsid w:val="00CC5EE5"/>
    <w:rsid w:val="00CC6145"/>
    <w:rsid w:val="00CD08C0"/>
    <w:rsid w:val="00CD1153"/>
    <w:rsid w:val="00CD1D60"/>
    <w:rsid w:val="00CD2BB4"/>
    <w:rsid w:val="00CD5466"/>
    <w:rsid w:val="00CD660F"/>
    <w:rsid w:val="00CD680E"/>
    <w:rsid w:val="00CE35EA"/>
    <w:rsid w:val="00CE3D62"/>
    <w:rsid w:val="00CE478C"/>
    <w:rsid w:val="00CF2307"/>
    <w:rsid w:val="00CF5F39"/>
    <w:rsid w:val="00CF7BB1"/>
    <w:rsid w:val="00D0138D"/>
    <w:rsid w:val="00D02D0D"/>
    <w:rsid w:val="00D1164E"/>
    <w:rsid w:val="00D1420E"/>
    <w:rsid w:val="00D15FAF"/>
    <w:rsid w:val="00D16974"/>
    <w:rsid w:val="00D20BAF"/>
    <w:rsid w:val="00D26D98"/>
    <w:rsid w:val="00D3374A"/>
    <w:rsid w:val="00D43CBF"/>
    <w:rsid w:val="00D506D0"/>
    <w:rsid w:val="00D5711F"/>
    <w:rsid w:val="00D63474"/>
    <w:rsid w:val="00D66373"/>
    <w:rsid w:val="00D6781B"/>
    <w:rsid w:val="00D72213"/>
    <w:rsid w:val="00D76391"/>
    <w:rsid w:val="00D82F01"/>
    <w:rsid w:val="00D82F8E"/>
    <w:rsid w:val="00D8622A"/>
    <w:rsid w:val="00D90334"/>
    <w:rsid w:val="00D91D8E"/>
    <w:rsid w:val="00D920C8"/>
    <w:rsid w:val="00D96537"/>
    <w:rsid w:val="00D978A0"/>
    <w:rsid w:val="00D97D4D"/>
    <w:rsid w:val="00DA4A9C"/>
    <w:rsid w:val="00DB156D"/>
    <w:rsid w:val="00DB17FD"/>
    <w:rsid w:val="00DB25C9"/>
    <w:rsid w:val="00DB6042"/>
    <w:rsid w:val="00DB7E00"/>
    <w:rsid w:val="00DC4EDD"/>
    <w:rsid w:val="00DC4FAB"/>
    <w:rsid w:val="00DC6FBA"/>
    <w:rsid w:val="00DD110B"/>
    <w:rsid w:val="00DD47DB"/>
    <w:rsid w:val="00DD5063"/>
    <w:rsid w:val="00DD6E69"/>
    <w:rsid w:val="00DD7393"/>
    <w:rsid w:val="00DD7B0B"/>
    <w:rsid w:val="00DE0182"/>
    <w:rsid w:val="00DE0B19"/>
    <w:rsid w:val="00DE144D"/>
    <w:rsid w:val="00DF0111"/>
    <w:rsid w:val="00DF5416"/>
    <w:rsid w:val="00E00BB2"/>
    <w:rsid w:val="00E02359"/>
    <w:rsid w:val="00E03022"/>
    <w:rsid w:val="00E11E5B"/>
    <w:rsid w:val="00E11EE2"/>
    <w:rsid w:val="00E177DB"/>
    <w:rsid w:val="00E20892"/>
    <w:rsid w:val="00E2627F"/>
    <w:rsid w:val="00E32BEE"/>
    <w:rsid w:val="00E3361E"/>
    <w:rsid w:val="00E34F25"/>
    <w:rsid w:val="00E36EAB"/>
    <w:rsid w:val="00E3784A"/>
    <w:rsid w:val="00E435D3"/>
    <w:rsid w:val="00E46490"/>
    <w:rsid w:val="00E524D0"/>
    <w:rsid w:val="00E541ED"/>
    <w:rsid w:val="00E54AFA"/>
    <w:rsid w:val="00E62F62"/>
    <w:rsid w:val="00E70311"/>
    <w:rsid w:val="00E7512C"/>
    <w:rsid w:val="00E75E82"/>
    <w:rsid w:val="00E7769E"/>
    <w:rsid w:val="00E83CC5"/>
    <w:rsid w:val="00E840A5"/>
    <w:rsid w:val="00E85A53"/>
    <w:rsid w:val="00E87AB9"/>
    <w:rsid w:val="00E95F0A"/>
    <w:rsid w:val="00E968DC"/>
    <w:rsid w:val="00EA235C"/>
    <w:rsid w:val="00EA3085"/>
    <w:rsid w:val="00EA7990"/>
    <w:rsid w:val="00EB14BE"/>
    <w:rsid w:val="00EB1A36"/>
    <w:rsid w:val="00EB37A1"/>
    <w:rsid w:val="00EB53DA"/>
    <w:rsid w:val="00EC7B40"/>
    <w:rsid w:val="00ED034C"/>
    <w:rsid w:val="00ED2E01"/>
    <w:rsid w:val="00ED55AE"/>
    <w:rsid w:val="00ED6F25"/>
    <w:rsid w:val="00EE1DB6"/>
    <w:rsid w:val="00EF1AAC"/>
    <w:rsid w:val="00EF31D8"/>
    <w:rsid w:val="00EF4F07"/>
    <w:rsid w:val="00EF5EC3"/>
    <w:rsid w:val="00EF6036"/>
    <w:rsid w:val="00F000D6"/>
    <w:rsid w:val="00F0023E"/>
    <w:rsid w:val="00F07602"/>
    <w:rsid w:val="00F07B8D"/>
    <w:rsid w:val="00F1304F"/>
    <w:rsid w:val="00F13A18"/>
    <w:rsid w:val="00F20665"/>
    <w:rsid w:val="00F230BA"/>
    <w:rsid w:val="00F23620"/>
    <w:rsid w:val="00F25370"/>
    <w:rsid w:val="00F261B5"/>
    <w:rsid w:val="00F26BD4"/>
    <w:rsid w:val="00F275EF"/>
    <w:rsid w:val="00F27DE6"/>
    <w:rsid w:val="00F27EBE"/>
    <w:rsid w:val="00F30FD9"/>
    <w:rsid w:val="00F31689"/>
    <w:rsid w:val="00F44ADB"/>
    <w:rsid w:val="00F52B54"/>
    <w:rsid w:val="00F61405"/>
    <w:rsid w:val="00F61573"/>
    <w:rsid w:val="00F6790B"/>
    <w:rsid w:val="00F703BE"/>
    <w:rsid w:val="00F7153E"/>
    <w:rsid w:val="00F71576"/>
    <w:rsid w:val="00F724AE"/>
    <w:rsid w:val="00F73D32"/>
    <w:rsid w:val="00F75264"/>
    <w:rsid w:val="00F75CFD"/>
    <w:rsid w:val="00F81DD5"/>
    <w:rsid w:val="00F82B4F"/>
    <w:rsid w:val="00F82E18"/>
    <w:rsid w:val="00F85221"/>
    <w:rsid w:val="00F8638F"/>
    <w:rsid w:val="00F91B6E"/>
    <w:rsid w:val="00F92A66"/>
    <w:rsid w:val="00F95794"/>
    <w:rsid w:val="00F962C8"/>
    <w:rsid w:val="00F9692E"/>
    <w:rsid w:val="00FA3B5F"/>
    <w:rsid w:val="00FB02B8"/>
    <w:rsid w:val="00FB0F0E"/>
    <w:rsid w:val="00FB3721"/>
    <w:rsid w:val="00FC0112"/>
    <w:rsid w:val="00FC2435"/>
    <w:rsid w:val="00FC2853"/>
    <w:rsid w:val="00FC5F97"/>
    <w:rsid w:val="00FC6459"/>
    <w:rsid w:val="00FD04CC"/>
    <w:rsid w:val="00FD30D3"/>
    <w:rsid w:val="00FD43E6"/>
    <w:rsid w:val="00FD445A"/>
    <w:rsid w:val="00FD62E2"/>
    <w:rsid w:val="00FE0993"/>
    <w:rsid w:val="00FE1FEE"/>
    <w:rsid w:val="00FE4392"/>
    <w:rsid w:val="00FE6A52"/>
    <w:rsid w:val="00FF45F8"/>
    <w:rsid w:val="0DBE51FE"/>
    <w:rsid w:val="0E674F9E"/>
    <w:rsid w:val="12FD98AF"/>
    <w:rsid w:val="1B58552D"/>
    <w:rsid w:val="1BED3D43"/>
    <w:rsid w:val="1BF1A51D"/>
    <w:rsid w:val="1CD710B2"/>
    <w:rsid w:val="1D683FB7"/>
    <w:rsid w:val="1DFF6EC0"/>
    <w:rsid w:val="1F87E1C8"/>
    <w:rsid w:val="1FBE963B"/>
    <w:rsid w:val="1FD72CEB"/>
    <w:rsid w:val="1FE7A4CB"/>
    <w:rsid w:val="1FFE86D9"/>
    <w:rsid w:val="239F143E"/>
    <w:rsid w:val="23F7DA84"/>
    <w:rsid w:val="26CF4810"/>
    <w:rsid w:val="2AFFAEB5"/>
    <w:rsid w:val="2D9F7D3C"/>
    <w:rsid w:val="2DC66CC5"/>
    <w:rsid w:val="2DFDEF4F"/>
    <w:rsid w:val="2F3B305C"/>
    <w:rsid w:val="2FCD17FE"/>
    <w:rsid w:val="2FDD9AEC"/>
    <w:rsid w:val="2FDE3CF5"/>
    <w:rsid w:val="2FEFC43B"/>
    <w:rsid w:val="2FFF38B2"/>
    <w:rsid w:val="33A1780B"/>
    <w:rsid w:val="3625C9C7"/>
    <w:rsid w:val="377DD044"/>
    <w:rsid w:val="37F15855"/>
    <w:rsid w:val="37F6DB5E"/>
    <w:rsid w:val="397C1970"/>
    <w:rsid w:val="3A3E30E5"/>
    <w:rsid w:val="3ABD0261"/>
    <w:rsid w:val="3AE78345"/>
    <w:rsid w:val="3BBBBBB7"/>
    <w:rsid w:val="3BDFAE9A"/>
    <w:rsid w:val="3C679A74"/>
    <w:rsid w:val="3D6C6809"/>
    <w:rsid w:val="3D76EFCF"/>
    <w:rsid w:val="3D9CD68A"/>
    <w:rsid w:val="3DFEB275"/>
    <w:rsid w:val="3DFF842F"/>
    <w:rsid w:val="3E7F8524"/>
    <w:rsid w:val="3E9FD91D"/>
    <w:rsid w:val="3EFFD595"/>
    <w:rsid w:val="3F611987"/>
    <w:rsid w:val="3F7F49AD"/>
    <w:rsid w:val="3F99D58D"/>
    <w:rsid w:val="3FAD175A"/>
    <w:rsid w:val="3FC595B3"/>
    <w:rsid w:val="3FCFC00F"/>
    <w:rsid w:val="3FD90DE9"/>
    <w:rsid w:val="47FFE77F"/>
    <w:rsid w:val="499EA8EB"/>
    <w:rsid w:val="4B574010"/>
    <w:rsid w:val="4BDF173F"/>
    <w:rsid w:val="4BEF729F"/>
    <w:rsid w:val="4EBB49D9"/>
    <w:rsid w:val="4FDD59B8"/>
    <w:rsid w:val="517AB350"/>
    <w:rsid w:val="53BCD43E"/>
    <w:rsid w:val="53BDDEAC"/>
    <w:rsid w:val="53F44591"/>
    <w:rsid w:val="56F3B552"/>
    <w:rsid w:val="56FF6BFE"/>
    <w:rsid w:val="57BB4020"/>
    <w:rsid w:val="58FF9F7B"/>
    <w:rsid w:val="596DF8F6"/>
    <w:rsid w:val="59ADCE7C"/>
    <w:rsid w:val="59C6D7CD"/>
    <w:rsid w:val="5A6C914D"/>
    <w:rsid w:val="5AEF8475"/>
    <w:rsid w:val="5AEF87D7"/>
    <w:rsid w:val="5AFBE507"/>
    <w:rsid w:val="5BCF52E0"/>
    <w:rsid w:val="5C7F6D61"/>
    <w:rsid w:val="5D9BB497"/>
    <w:rsid w:val="5DED0560"/>
    <w:rsid w:val="5DEE7AD0"/>
    <w:rsid w:val="5DEF6940"/>
    <w:rsid w:val="5E2DD47F"/>
    <w:rsid w:val="5EDF16E9"/>
    <w:rsid w:val="5EE79346"/>
    <w:rsid w:val="5EFF6ABF"/>
    <w:rsid w:val="5F5FDAA4"/>
    <w:rsid w:val="5F6ACE0B"/>
    <w:rsid w:val="5FA76ADE"/>
    <w:rsid w:val="5FB7F1A0"/>
    <w:rsid w:val="5FBFEA9E"/>
    <w:rsid w:val="5FFCD758"/>
    <w:rsid w:val="5FFD7A05"/>
    <w:rsid w:val="5FFFB463"/>
    <w:rsid w:val="65DF6360"/>
    <w:rsid w:val="65E75653"/>
    <w:rsid w:val="65E75803"/>
    <w:rsid w:val="65F4A0A7"/>
    <w:rsid w:val="65FAFFE2"/>
    <w:rsid w:val="67FF0EDD"/>
    <w:rsid w:val="695788F4"/>
    <w:rsid w:val="6BF7D5AF"/>
    <w:rsid w:val="6BFF34D0"/>
    <w:rsid w:val="6CEC8A1F"/>
    <w:rsid w:val="6CEE33DA"/>
    <w:rsid w:val="6D7FE0A8"/>
    <w:rsid w:val="6DDE3796"/>
    <w:rsid w:val="6E5B765D"/>
    <w:rsid w:val="6EA7D165"/>
    <w:rsid w:val="6EBFA798"/>
    <w:rsid w:val="6EFB84BC"/>
    <w:rsid w:val="6F759620"/>
    <w:rsid w:val="6F7BDFD1"/>
    <w:rsid w:val="6F7DA596"/>
    <w:rsid w:val="6FBF7E80"/>
    <w:rsid w:val="6FFEEB8C"/>
    <w:rsid w:val="6FFFFAFE"/>
    <w:rsid w:val="73C6D4CE"/>
    <w:rsid w:val="73D5EBED"/>
    <w:rsid w:val="73D8BCE1"/>
    <w:rsid w:val="73DFFA01"/>
    <w:rsid w:val="73EB8752"/>
    <w:rsid w:val="73FFE61C"/>
    <w:rsid w:val="74FC01CD"/>
    <w:rsid w:val="757B51C5"/>
    <w:rsid w:val="75B966B9"/>
    <w:rsid w:val="75B9AB41"/>
    <w:rsid w:val="75DF4BC7"/>
    <w:rsid w:val="75FD9053"/>
    <w:rsid w:val="767F29B1"/>
    <w:rsid w:val="76AE200A"/>
    <w:rsid w:val="76E94852"/>
    <w:rsid w:val="76F5BDC6"/>
    <w:rsid w:val="7743D126"/>
    <w:rsid w:val="775B1D63"/>
    <w:rsid w:val="77783D8B"/>
    <w:rsid w:val="777F16DA"/>
    <w:rsid w:val="779B1C04"/>
    <w:rsid w:val="77BD6C0F"/>
    <w:rsid w:val="77DAABCE"/>
    <w:rsid w:val="77DAF369"/>
    <w:rsid w:val="77DCA1FD"/>
    <w:rsid w:val="77DEE580"/>
    <w:rsid w:val="77EB2018"/>
    <w:rsid w:val="77EDCE88"/>
    <w:rsid w:val="77F4AEC6"/>
    <w:rsid w:val="77FE922E"/>
    <w:rsid w:val="77FEDA87"/>
    <w:rsid w:val="77FF007E"/>
    <w:rsid w:val="783FA6EE"/>
    <w:rsid w:val="7999CA58"/>
    <w:rsid w:val="7A77EA5C"/>
    <w:rsid w:val="7ACDD141"/>
    <w:rsid w:val="7ACEB05F"/>
    <w:rsid w:val="7ADB3DAD"/>
    <w:rsid w:val="7AF793EA"/>
    <w:rsid w:val="7AFD3D54"/>
    <w:rsid w:val="7AFFDE4F"/>
    <w:rsid w:val="7B1EBB05"/>
    <w:rsid w:val="7B7744C3"/>
    <w:rsid w:val="7B8E7DD2"/>
    <w:rsid w:val="7BAFDD52"/>
    <w:rsid w:val="7BB7E6EB"/>
    <w:rsid w:val="7BDF3769"/>
    <w:rsid w:val="7BDF3A98"/>
    <w:rsid w:val="7BDF86A2"/>
    <w:rsid w:val="7BE32445"/>
    <w:rsid w:val="7BE7D416"/>
    <w:rsid w:val="7BEBFB97"/>
    <w:rsid w:val="7BEE2618"/>
    <w:rsid w:val="7BF75F79"/>
    <w:rsid w:val="7CB4BDE1"/>
    <w:rsid w:val="7CB6F3E0"/>
    <w:rsid w:val="7CEF2E98"/>
    <w:rsid w:val="7CF91B72"/>
    <w:rsid w:val="7CFAA8D9"/>
    <w:rsid w:val="7DDF98A4"/>
    <w:rsid w:val="7DF2D993"/>
    <w:rsid w:val="7DF3BDA4"/>
    <w:rsid w:val="7DFAD83E"/>
    <w:rsid w:val="7DFB218B"/>
    <w:rsid w:val="7DFEC013"/>
    <w:rsid w:val="7E76F9CD"/>
    <w:rsid w:val="7E97F961"/>
    <w:rsid w:val="7EA6731F"/>
    <w:rsid w:val="7EB86791"/>
    <w:rsid w:val="7EBDCC43"/>
    <w:rsid w:val="7EF68BC1"/>
    <w:rsid w:val="7EFB50C3"/>
    <w:rsid w:val="7EFD25FA"/>
    <w:rsid w:val="7EFDAD43"/>
    <w:rsid w:val="7EFFF302"/>
    <w:rsid w:val="7F2F826F"/>
    <w:rsid w:val="7F4A6031"/>
    <w:rsid w:val="7F7F0A53"/>
    <w:rsid w:val="7F7F50BA"/>
    <w:rsid w:val="7F9DE047"/>
    <w:rsid w:val="7FA7A812"/>
    <w:rsid w:val="7FB16625"/>
    <w:rsid w:val="7FB523B9"/>
    <w:rsid w:val="7FB948CB"/>
    <w:rsid w:val="7FBBE709"/>
    <w:rsid w:val="7FC533DE"/>
    <w:rsid w:val="7FCF4170"/>
    <w:rsid w:val="7FDDEB4D"/>
    <w:rsid w:val="7FDF85FB"/>
    <w:rsid w:val="7FEBE740"/>
    <w:rsid w:val="7FF4C5B9"/>
    <w:rsid w:val="7FF73947"/>
    <w:rsid w:val="7FFB4AC7"/>
    <w:rsid w:val="7FFCC8E5"/>
    <w:rsid w:val="7FFD7E10"/>
    <w:rsid w:val="7FFF250F"/>
    <w:rsid w:val="7FFF4A90"/>
    <w:rsid w:val="7FFFFEB1"/>
    <w:rsid w:val="83E59360"/>
    <w:rsid w:val="8CF9EAAB"/>
    <w:rsid w:val="8DFF1255"/>
    <w:rsid w:val="8DFFD420"/>
    <w:rsid w:val="94FF11FF"/>
    <w:rsid w:val="955F4313"/>
    <w:rsid w:val="9797DF7D"/>
    <w:rsid w:val="9AFB4E60"/>
    <w:rsid w:val="9B294156"/>
    <w:rsid w:val="9BDF2FFD"/>
    <w:rsid w:val="9CEED8AE"/>
    <w:rsid w:val="9D1C44B0"/>
    <w:rsid w:val="9DEF2BB9"/>
    <w:rsid w:val="9F7B616A"/>
    <w:rsid w:val="9FB67F2A"/>
    <w:rsid w:val="9FFF43CE"/>
    <w:rsid w:val="A5D69D04"/>
    <w:rsid w:val="A6F7262E"/>
    <w:rsid w:val="A7D7051C"/>
    <w:rsid w:val="A7FF4975"/>
    <w:rsid w:val="ABB6DB26"/>
    <w:rsid w:val="ABFBA41A"/>
    <w:rsid w:val="ADFFC9A1"/>
    <w:rsid w:val="AFDA5302"/>
    <w:rsid w:val="B3FB72EF"/>
    <w:rsid w:val="B5BEC459"/>
    <w:rsid w:val="B5D3C75D"/>
    <w:rsid w:val="B5DD178B"/>
    <w:rsid w:val="B5DF086F"/>
    <w:rsid w:val="B6D78AB9"/>
    <w:rsid w:val="B7C6EDCF"/>
    <w:rsid w:val="B7CB7B1D"/>
    <w:rsid w:val="B7FE744E"/>
    <w:rsid w:val="B8DC2CB3"/>
    <w:rsid w:val="B9F7A3B8"/>
    <w:rsid w:val="BB47DE59"/>
    <w:rsid w:val="BB5D3999"/>
    <w:rsid w:val="BBBE2AEB"/>
    <w:rsid w:val="BBEF43D6"/>
    <w:rsid w:val="BBFCDA8A"/>
    <w:rsid w:val="BBFDC474"/>
    <w:rsid w:val="BC7FEAD6"/>
    <w:rsid w:val="BCFFF29B"/>
    <w:rsid w:val="BDB74512"/>
    <w:rsid w:val="BDCC67FF"/>
    <w:rsid w:val="BDD53BB8"/>
    <w:rsid w:val="BDE71836"/>
    <w:rsid w:val="BE2EC49F"/>
    <w:rsid w:val="BE3BDBAE"/>
    <w:rsid w:val="BE6B1CBD"/>
    <w:rsid w:val="BE7F9D9C"/>
    <w:rsid w:val="BEBFC497"/>
    <w:rsid w:val="BEEF251D"/>
    <w:rsid w:val="BF75A9A5"/>
    <w:rsid w:val="BF7BE57E"/>
    <w:rsid w:val="BF7F0C0B"/>
    <w:rsid w:val="BF9F58D7"/>
    <w:rsid w:val="BFAB60BF"/>
    <w:rsid w:val="BFEFBFC7"/>
    <w:rsid w:val="BFF2D1A8"/>
    <w:rsid w:val="BFF33667"/>
    <w:rsid w:val="BFF41435"/>
    <w:rsid w:val="BFF71C7E"/>
    <w:rsid w:val="BFFD4E78"/>
    <w:rsid w:val="BFFD72B0"/>
    <w:rsid w:val="BFFFBA01"/>
    <w:rsid w:val="C39FFF79"/>
    <w:rsid w:val="C7CA8611"/>
    <w:rsid w:val="C7FF8C09"/>
    <w:rsid w:val="CB7FA3CB"/>
    <w:rsid w:val="CE0E6FAD"/>
    <w:rsid w:val="CFACF9BC"/>
    <w:rsid w:val="CFE7FC4B"/>
    <w:rsid w:val="CFFF5C11"/>
    <w:rsid w:val="D37BB188"/>
    <w:rsid w:val="D3FA8346"/>
    <w:rsid w:val="D4EE833E"/>
    <w:rsid w:val="D4F3FD1A"/>
    <w:rsid w:val="D7AF958E"/>
    <w:rsid w:val="D7DD78D7"/>
    <w:rsid w:val="D7F7F2AB"/>
    <w:rsid w:val="D8F34E58"/>
    <w:rsid w:val="DAFFDFC8"/>
    <w:rsid w:val="DB5C873D"/>
    <w:rsid w:val="DB78E05B"/>
    <w:rsid w:val="DB7B1CB4"/>
    <w:rsid w:val="DB9A6A83"/>
    <w:rsid w:val="DBDB38D7"/>
    <w:rsid w:val="DBEEF701"/>
    <w:rsid w:val="DBFF8E89"/>
    <w:rsid w:val="DC67DF90"/>
    <w:rsid w:val="DCEA6D7F"/>
    <w:rsid w:val="DCF6F144"/>
    <w:rsid w:val="DCFA8FD8"/>
    <w:rsid w:val="DD665B96"/>
    <w:rsid w:val="DD7F54D6"/>
    <w:rsid w:val="DE3FFB6D"/>
    <w:rsid w:val="DE472184"/>
    <w:rsid w:val="DEAB16AC"/>
    <w:rsid w:val="DEFDFBA4"/>
    <w:rsid w:val="DF4FFAAA"/>
    <w:rsid w:val="DF7915B7"/>
    <w:rsid w:val="DF7F31D9"/>
    <w:rsid w:val="DF9AA96F"/>
    <w:rsid w:val="DFBFBFE9"/>
    <w:rsid w:val="DFE387D4"/>
    <w:rsid w:val="DFE4284F"/>
    <w:rsid w:val="DFED19E0"/>
    <w:rsid w:val="DFFE81F4"/>
    <w:rsid w:val="DFFE8885"/>
    <w:rsid w:val="DFFEC56E"/>
    <w:rsid w:val="E37C921D"/>
    <w:rsid w:val="E3FF38A0"/>
    <w:rsid w:val="E43FBA99"/>
    <w:rsid w:val="E59FDEBF"/>
    <w:rsid w:val="E7BE7DB3"/>
    <w:rsid w:val="E99F5413"/>
    <w:rsid w:val="EB4FFAFC"/>
    <w:rsid w:val="EBFD1589"/>
    <w:rsid w:val="ED9EDE5A"/>
    <w:rsid w:val="EDA73382"/>
    <w:rsid w:val="EDBF274B"/>
    <w:rsid w:val="EDE21B0F"/>
    <w:rsid w:val="EEEFE554"/>
    <w:rsid w:val="EEF75386"/>
    <w:rsid w:val="EEFF1112"/>
    <w:rsid w:val="EF1EE17D"/>
    <w:rsid w:val="EF7BEBB5"/>
    <w:rsid w:val="EF7ED8F4"/>
    <w:rsid w:val="EFD576DA"/>
    <w:rsid w:val="EFEF2A30"/>
    <w:rsid w:val="EFF3AE5B"/>
    <w:rsid w:val="EFF7F24E"/>
    <w:rsid w:val="EFFB9FFE"/>
    <w:rsid w:val="EFFDB1CF"/>
    <w:rsid w:val="EFFDCB7A"/>
    <w:rsid w:val="EFFF04E9"/>
    <w:rsid w:val="F1CDE2EF"/>
    <w:rsid w:val="F3FFD75F"/>
    <w:rsid w:val="F473A4B6"/>
    <w:rsid w:val="F4778063"/>
    <w:rsid w:val="F4B7F2C6"/>
    <w:rsid w:val="F4C36AE0"/>
    <w:rsid w:val="F4C75959"/>
    <w:rsid w:val="F57B3BC0"/>
    <w:rsid w:val="F5DA79DD"/>
    <w:rsid w:val="F5DF0321"/>
    <w:rsid w:val="F5EF69D0"/>
    <w:rsid w:val="F67EDAB6"/>
    <w:rsid w:val="F6BC0EE0"/>
    <w:rsid w:val="F6BFE770"/>
    <w:rsid w:val="F6E97DB8"/>
    <w:rsid w:val="F6FC6CE4"/>
    <w:rsid w:val="F6FFE955"/>
    <w:rsid w:val="F755A15C"/>
    <w:rsid w:val="F76BDDF3"/>
    <w:rsid w:val="F76F98FC"/>
    <w:rsid w:val="F775B352"/>
    <w:rsid w:val="F77F4D87"/>
    <w:rsid w:val="F7B8C4F9"/>
    <w:rsid w:val="F7BBEBDC"/>
    <w:rsid w:val="F7DD00F0"/>
    <w:rsid w:val="F7DDA7E0"/>
    <w:rsid w:val="F7DF7703"/>
    <w:rsid w:val="F7EEE66C"/>
    <w:rsid w:val="F7EFFE7D"/>
    <w:rsid w:val="F8FB43BC"/>
    <w:rsid w:val="F8FF950A"/>
    <w:rsid w:val="F9B39373"/>
    <w:rsid w:val="F9FCBA95"/>
    <w:rsid w:val="FABD52A3"/>
    <w:rsid w:val="FABFDF05"/>
    <w:rsid w:val="FADFBD0E"/>
    <w:rsid w:val="FB5F3939"/>
    <w:rsid w:val="FB79C85F"/>
    <w:rsid w:val="FB7F652A"/>
    <w:rsid w:val="FBAD4609"/>
    <w:rsid w:val="FBFD0EF4"/>
    <w:rsid w:val="FBFF10B9"/>
    <w:rsid w:val="FBFF1EF3"/>
    <w:rsid w:val="FC5F032E"/>
    <w:rsid w:val="FC8F5739"/>
    <w:rsid w:val="FCB6AD8F"/>
    <w:rsid w:val="FCCC2984"/>
    <w:rsid w:val="FCF7149B"/>
    <w:rsid w:val="FCFA9D44"/>
    <w:rsid w:val="FD37E26E"/>
    <w:rsid w:val="FD3D0E73"/>
    <w:rsid w:val="FD3E638D"/>
    <w:rsid w:val="FD5F6177"/>
    <w:rsid w:val="FD7AFF16"/>
    <w:rsid w:val="FD7D2198"/>
    <w:rsid w:val="FDA35F2E"/>
    <w:rsid w:val="FDD7A2B8"/>
    <w:rsid w:val="FDDDEF04"/>
    <w:rsid w:val="FDDF74CA"/>
    <w:rsid w:val="FDF9F429"/>
    <w:rsid w:val="FDFFAABF"/>
    <w:rsid w:val="FDFFC8A9"/>
    <w:rsid w:val="FE2744CB"/>
    <w:rsid w:val="FE3DA8DF"/>
    <w:rsid w:val="FE7DA149"/>
    <w:rsid w:val="FE9E8FDF"/>
    <w:rsid w:val="FE9F7F65"/>
    <w:rsid w:val="FE9F808E"/>
    <w:rsid w:val="FEBF6FBB"/>
    <w:rsid w:val="FEEB55A2"/>
    <w:rsid w:val="FEF32B61"/>
    <w:rsid w:val="FEFF336C"/>
    <w:rsid w:val="FEFFBF6A"/>
    <w:rsid w:val="FF3D4481"/>
    <w:rsid w:val="FF56C9F8"/>
    <w:rsid w:val="FF6481E1"/>
    <w:rsid w:val="FF692B21"/>
    <w:rsid w:val="FF6CE2C7"/>
    <w:rsid w:val="FF7E855C"/>
    <w:rsid w:val="FF7FD7E7"/>
    <w:rsid w:val="FF9F7554"/>
    <w:rsid w:val="FFAFA0A1"/>
    <w:rsid w:val="FFB7877B"/>
    <w:rsid w:val="FFBBA585"/>
    <w:rsid w:val="FFBF0407"/>
    <w:rsid w:val="FFC7FF38"/>
    <w:rsid w:val="FFCF7064"/>
    <w:rsid w:val="FFD2D2C6"/>
    <w:rsid w:val="FFD7B0C2"/>
    <w:rsid w:val="FFEF559E"/>
    <w:rsid w:val="FFEF6F4B"/>
    <w:rsid w:val="FFF32E9B"/>
    <w:rsid w:val="FFF3C8EF"/>
    <w:rsid w:val="FFF7A85E"/>
    <w:rsid w:val="FFFB42AE"/>
    <w:rsid w:val="FFFD45C5"/>
    <w:rsid w:val="FFFF3B9D"/>
    <w:rsid w:val="FFFFB6F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nhideWhenUsed="0" w:uiPriority="0" w:semiHidden="0" w:name="List 2"/>
    <w:lsdException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spacing w:after="50" w:afterLines="50"/>
      <w:jc w:val="both"/>
    </w:pPr>
    <w:rPr>
      <w:rFonts w:ascii="Times New Roman" w:hAnsi="Times New Roman" w:eastAsia="바탕" w:cs="Times New Roman"/>
      <w:szCs w:val="20"/>
      <w:lang w:val="en-GB" w:eastAsia="en-US" w:bidi="ar-SA"/>
    </w:rPr>
  </w:style>
  <w:style w:type="paragraph" w:styleId="2">
    <w:name w:val="heading 1"/>
    <w:basedOn w:val="1"/>
    <w:next w:val="1"/>
    <w:link w:val="25"/>
    <w:qFormat/>
    <w:uiPriority w:val="9"/>
    <w:pPr>
      <w:widowControl w:val="0"/>
      <w:numPr>
        <w:ilvl w:val="0"/>
        <w:numId w:val="1"/>
      </w:numPr>
      <w:spacing w:before="360" w:after="60"/>
      <w:ind w:left="432" w:hanging="432"/>
      <w:outlineLvl w:val="0"/>
    </w:pPr>
    <w:rPr>
      <w:rFonts w:ascii="Arial" w:hAnsi="Arial"/>
      <w:b/>
      <w:bCs/>
      <w:kern w:val="32"/>
      <w:sz w:val="32"/>
      <w:szCs w:val="32"/>
    </w:rPr>
  </w:style>
  <w:style w:type="paragraph" w:styleId="3">
    <w:name w:val="heading 2"/>
    <w:basedOn w:val="2"/>
    <w:next w:val="1"/>
    <w:link w:val="26"/>
    <w:qFormat/>
    <w:uiPriority w:val="9"/>
    <w:pPr>
      <w:keepNext/>
      <w:widowControl w:val="0"/>
      <w:numPr>
        <w:ilvl w:val="1"/>
        <w:numId w:val="1"/>
      </w:numPr>
      <w:tabs>
        <w:tab w:val="clear" w:pos="432"/>
      </w:tabs>
      <w:spacing w:before="240" w:after="60"/>
      <w:outlineLvl w:val="1"/>
    </w:pPr>
    <w:rPr>
      <w:rFonts w:ascii="Arial" w:hAnsi="Arial"/>
      <w:b w:val="0"/>
      <w:bCs w:val="0"/>
      <w:i/>
      <w:iCs/>
      <w:sz w:val="24"/>
      <w:szCs w:val="28"/>
    </w:rPr>
  </w:style>
  <w:style w:type="paragraph" w:styleId="4">
    <w:name w:val="heading 3"/>
    <w:basedOn w:val="1"/>
    <w:next w:val="1"/>
    <w:link w:val="27"/>
    <w:qFormat/>
    <w:uiPriority w:val="0"/>
    <w:pPr>
      <w:keepNext/>
      <w:numPr>
        <w:ilvl w:val="2"/>
        <w:numId w:val="1"/>
      </w:numPr>
      <w:spacing w:before="240" w:after="60"/>
      <w:outlineLvl w:val="2"/>
    </w:pPr>
    <w:rPr>
      <w:rFonts w:ascii="Arial" w:hAnsi="Arial"/>
      <w:b/>
      <w:bCs/>
      <w:szCs w:val="26"/>
    </w:rPr>
  </w:style>
  <w:style w:type="paragraph" w:styleId="5">
    <w:name w:val="heading 4"/>
    <w:basedOn w:val="4"/>
    <w:next w:val="1"/>
    <w:link w:val="28"/>
    <w:qFormat/>
    <w:uiPriority w:val="9"/>
    <w:pPr>
      <w:numPr>
        <w:ilvl w:val="3"/>
        <w:numId w:val="1"/>
      </w:numPr>
      <w:outlineLvl w:val="3"/>
    </w:pPr>
    <w:rPr>
      <w:i/>
    </w:rPr>
  </w:style>
  <w:style w:type="paragraph" w:styleId="6">
    <w:name w:val="heading 5"/>
    <w:basedOn w:val="5"/>
    <w:next w:val="1"/>
    <w:link w:val="29"/>
    <w:qFormat/>
    <w:uiPriority w:val="9"/>
    <w:pPr>
      <w:numPr>
        <w:ilvl w:val="4"/>
      </w:numPr>
      <w:ind w:left="864" w:hanging="864"/>
      <w:outlineLvl w:val="4"/>
    </w:pPr>
    <w:rPr>
      <w:bCs w:val="0"/>
      <w:i w:val="0"/>
      <w:iCs/>
      <w:sz w:val="18"/>
    </w:rPr>
  </w:style>
  <w:style w:type="paragraph" w:styleId="7">
    <w:name w:val="heading 6"/>
    <w:basedOn w:val="1"/>
    <w:next w:val="1"/>
    <w:link w:val="30"/>
    <w:qFormat/>
    <w:uiPriority w:val="9"/>
    <w:pPr>
      <w:numPr>
        <w:ilvl w:val="5"/>
        <w:numId w:val="1"/>
      </w:numPr>
      <w:spacing w:before="240" w:after="60"/>
      <w:outlineLvl w:val="5"/>
    </w:pPr>
    <w:rPr>
      <w:rFonts w:ascii="Times New Roman" w:hAnsi="Times New Roman"/>
      <w:b/>
      <w:bCs/>
      <w:i/>
      <w:szCs w:val="22"/>
    </w:rPr>
  </w:style>
  <w:style w:type="paragraph" w:styleId="8">
    <w:name w:val="heading 7"/>
    <w:basedOn w:val="1"/>
    <w:next w:val="1"/>
    <w:link w:val="31"/>
    <w:qFormat/>
    <w:uiPriority w:val="9"/>
    <w:pPr>
      <w:numPr>
        <w:ilvl w:val="6"/>
        <w:numId w:val="1"/>
      </w:numPr>
      <w:spacing w:before="240" w:after="60"/>
      <w:outlineLvl w:val="6"/>
    </w:pPr>
    <w:rPr>
      <w:rFonts w:ascii="Times New Roman" w:hAnsi="Times New Roman"/>
      <w:sz w:val="24"/>
    </w:rPr>
  </w:style>
  <w:style w:type="paragraph" w:styleId="9">
    <w:name w:val="heading 8"/>
    <w:basedOn w:val="1"/>
    <w:next w:val="1"/>
    <w:link w:val="32"/>
    <w:qFormat/>
    <w:uiPriority w:val="9"/>
    <w:pPr>
      <w:numPr>
        <w:ilvl w:val="7"/>
        <w:numId w:val="1"/>
      </w:numPr>
      <w:spacing w:before="240" w:after="60"/>
      <w:outlineLvl w:val="7"/>
    </w:pPr>
    <w:rPr>
      <w:rFonts w:ascii="Times New Roman" w:hAnsi="Times New Roman"/>
      <w:i/>
      <w:iCs/>
      <w:sz w:val="24"/>
    </w:rPr>
  </w:style>
  <w:style w:type="paragraph" w:styleId="10">
    <w:name w:val="heading 9"/>
    <w:basedOn w:val="1"/>
    <w:next w:val="1"/>
    <w:link w:val="33"/>
    <w:qFormat/>
    <w:uiPriority w:val="9"/>
    <w:pPr>
      <w:numPr>
        <w:ilvl w:val="8"/>
        <w:numId w:val="1"/>
      </w:numPr>
      <w:spacing w:before="240" w:after="60"/>
      <w:outlineLvl w:val="8"/>
    </w:pPr>
    <w:rPr>
      <w:rFonts w:ascii="Arial" w:hAnsi="Arial"/>
      <w:sz w:val="22"/>
      <w:szCs w:val="22"/>
    </w:rPr>
  </w:style>
  <w:style w:type="character" w:default="1" w:styleId="11">
    <w:name w:val="Default Paragraph Font"/>
    <w:unhideWhenUsed/>
    <w:uiPriority w:val="1"/>
  </w:style>
  <w:style w:type="table" w:default="1" w:styleId="12">
    <w:name w:val="Normal Table"/>
    <w:unhideWhenUsed/>
    <w:uiPriority w:val="99"/>
    <w:tblPr>
      <w:tblCellMar>
        <w:top w:w="0" w:type="dxa"/>
        <w:left w:w="108" w:type="dxa"/>
        <w:bottom w:w="0" w:type="dxa"/>
        <w:right w:w="108" w:type="dxa"/>
      </w:tblCellMar>
    </w:tblPr>
  </w:style>
  <w:style w:type="paragraph" w:styleId="13">
    <w:name w:val="Balloon Text"/>
    <w:basedOn w:val="1"/>
    <w:link w:val="34"/>
    <w:unhideWhenUsed/>
    <w:uiPriority w:val="99"/>
    <w:rPr>
      <w:rFonts w:ascii="Malgun Gothic" w:eastAsia="Malgun Gothic"/>
      <w:sz w:val="18"/>
      <w:szCs w:val="18"/>
    </w:rPr>
  </w:style>
  <w:style w:type="paragraph" w:styleId="14">
    <w:name w:val="annotation text"/>
    <w:basedOn w:val="1"/>
    <w:semiHidden/>
    <w:unhideWhenUsed/>
    <w:uiPriority w:val="99"/>
    <w:pPr>
      <w:jc w:val="left"/>
    </w:pPr>
  </w:style>
  <w:style w:type="character" w:styleId="15">
    <w:name w:val="Emphasis"/>
    <w:qFormat/>
    <w:uiPriority w:val="20"/>
    <w:rPr>
      <w:i/>
      <w:iCs/>
    </w:rPr>
  </w:style>
  <w:style w:type="character" w:styleId="16">
    <w:name w:val="FollowedHyperlink"/>
    <w:unhideWhenUsed/>
    <w:uiPriority w:val="99"/>
    <w:rPr>
      <w:color w:val="954F72"/>
      <w:u w:val="single"/>
    </w:rPr>
  </w:style>
  <w:style w:type="paragraph" w:styleId="17">
    <w:name w:val="footer"/>
    <w:basedOn w:val="1"/>
    <w:link w:val="35"/>
    <w:unhideWhenUsed/>
    <w:uiPriority w:val="99"/>
    <w:pPr>
      <w:tabs>
        <w:tab w:val="center" w:pos="4680"/>
        <w:tab w:val="right" w:pos="9360"/>
      </w:tabs>
    </w:pPr>
  </w:style>
  <w:style w:type="paragraph" w:styleId="18">
    <w:name w:val="header"/>
    <w:basedOn w:val="1"/>
    <w:link w:val="36"/>
    <w:unhideWhenUsed/>
    <w:uiPriority w:val="99"/>
    <w:pPr>
      <w:tabs>
        <w:tab w:val="center" w:pos="4680"/>
        <w:tab w:val="right" w:pos="9360"/>
      </w:tabs>
    </w:pPr>
  </w:style>
  <w:style w:type="character" w:styleId="19">
    <w:name w:val="Hyperlink"/>
    <w:qFormat/>
    <w:uiPriority w:val="99"/>
    <w:rPr>
      <w:color w:val="0000FF"/>
      <w:u w:val="single"/>
    </w:rPr>
  </w:style>
  <w:style w:type="paragraph" w:styleId="20">
    <w:name w:val="List"/>
    <w:basedOn w:val="1"/>
    <w:unhideWhenUsed/>
    <w:uiPriority w:val="99"/>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21">
    <w:name w:val="List 2"/>
    <w:basedOn w:val="20"/>
    <w:uiPriority w:val="0"/>
    <w:pPr>
      <w:ind w:left="851"/>
    </w:pPr>
  </w:style>
  <w:style w:type="paragraph" w:styleId="22">
    <w:name w:val="List 3"/>
    <w:basedOn w:val="21"/>
    <w:uiPriority w:val="0"/>
    <w:pPr>
      <w:ind w:left="1135"/>
    </w:pPr>
  </w:style>
  <w:style w:type="paragraph" w:styleId="23">
    <w:name w:val="Plain Text"/>
    <w:basedOn w:val="1"/>
    <w:link w:val="37"/>
    <w:unhideWhenUsed/>
    <w:uiPriority w:val="99"/>
    <w:rPr>
      <w:rFonts w:ascii="Arial" w:hAnsi="Arial" w:eastAsia="MS Gothic"/>
      <w:color w:val="000000"/>
      <w:szCs w:val="20"/>
    </w:rPr>
  </w:style>
  <w:style w:type="table" w:styleId="24">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
    <w:name w:val="제목 1 Char"/>
    <w:link w:val="2"/>
    <w:uiPriority w:val="9"/>
    <w:rPr>
      <w:rFonts w:ascii="Arial" w:hAnsi="Arial" w:eastAsia="바탕" w:cs="Times New Roman"/>
      <w:b/>
      <w:bCs/>
      <w:kern w:val="32"/>
      <w:sz w:val="32"/>
      <w:szCs w:val="32"/>
      <w:lang w:val="en-GB"/>
    </w:rPr>
  </w:style>
  <w:style w:type="character" w:customStyle="1" w:styleId="26">
    <w:name w:val="제목 2 Char"/>
    <w:link w:val="3"/>
    <w:uiPriority w:val="9"/>
    <w:rPr>
      <w:rFonts w:ascii="Arial" w:hAnsi="Arial" w:eastAsia="바탕" w:cs="Times New Roman"/>
      <w:b/>
      <w:bCs/>
      <w:i/>
      <w:iCs/>
      <w:kern w:val="0"/>
      <w:sz w:val="24"/>
      <w:szCs w:val="28"/>
      <w:lang w:val="en-GB"/>
    </w:rPr>
  </w:style>
  <w:style w:type="character" w:customStyle="1" w:styleId="27">
    <w:name w:val="제목 3 Char"/>
    <w:link w:val="4"/>
    <w:uiPriority w:val="0"/>
    <w:rPr>
      <w:rFonts w:ascii="Arial" w:hAnsi="Arial" w:eastAsia="바탕" w:cs="Times New Roman"/>
      <w:b/>
      <w:bCs/>
      <w:kern w:val="0"/>
      <w:szCs w:val="26"/>
      <w:lang w:val="en-GB"/>
    </w:rPr>
  </w:style>
  <w:style w:type="character" w:customStyle="1" w:styleId="28">
    <w:name w:val="제목 4 Char"/>
    <w:link w:val="5"/>
    <w:uiPriority w:val="9"/>
    <w:rPr>
      <w:rFonts w:ascii="Arial" w:hAnsi="Arial" w:eastAsia="바탕" w:cs="Times New Roman"/>
      <w:b/>
      <w:bCs/>
      <w:i/>
      <w:kern w:val="0"/>
      <w:szCs w:val="26"/>
      <w:lang w:val="en-GB"/>
    </w:rPr>
  </w:style>
  <w:style w:type="character" w:customStyle="1" w:styleId="29">
    <w:name w:val="제목 5 Char"/>
    <w:link w:val="6"/>
    <w:uiPriority w:val="9"/>
    <w:rPr>
      <w:rFonts w:ascii="Arial" w:hAnsi="Arial" w:eastAsia="바탕" w:cs="Times New Roman"/>
      <w:b/>
      <w:iCs/>
      <w:kern w:val="0"/>
      <w:sz w:val="18"/>
      <w:szCs w:val="26"/>
      <w:lang w:val="en-GB"/>
    </w:rPr>
  </w:style>
  <w:style w:type="character" w:customStyle="1" w:styleId="30">
    <w:name w:val="제목 6 Char"/>
    <w:link w:val="7"/>
    <w:uiPriority w:val="9"/>
    <w:rPr>
      <w:rFonts w:ascii="Times New Roman" w:hAnsi="Times New Roman" w:eastAsia="바탕" w:cs="Times New Roman"/>
      <w:b/>
      <w:bCs/>
      <w:i/>
      <w:kern w:val="0"/>
      <w:lang w:val="en-GB"/>
    </w:rPr>
  </w:style>
  <w:style w:type="character" w:customStyle="1" w:styleId="31">
    <w:name w:val="제목 7 Char"/>
    <w:link w:val="8"/>
    <w:uiPriority w:val="9"/>
    <w:rPr>
      <w:rFonts w:ascii="Times New Roman" w:hAnsi="Times New Roman" w:eastAsia="바탕" w:cs="Times New Roman"/>
      <w:kern w:val="0"/>
      <w:sz w:val="24"/>
      <w:szCs w:val="24"/>
      <w:lang w:val="en-GB"/>
    </w:rPr>
  </w:style>
  <w:style w:type="character" w:customStyle="1" w:styleId="32">
    <w:name w:val="제목 8 Char"/>
    <w:link w:val="9"/>
    <w:uiPriority w:val="9"/>
    <w:rPr>
      <w:rFonts w:ascii="Times New Roman" w:hAnsi="Times New Roman" w:eastAsia="바탕" w:cs="Times New Roman"/>
      <w:i/>
      <w:iCs/>
      <w:kern w:val="0"/>
      <w:sz w:val="24"/>
      <w:szCs w:val="24"/>
      <w:lang w:val="en-GB"/>
    </w:rPr>
  </w:style>
  <w:style w:type="character" w:customStyle="1" w:styleId="33">
    <w:name w:val="제목 9 Char"/>
    <w:link w:val="10"/>
    <w:uiPriority w:val="9"/>
    <w:rPr>
      <w:rFonts w:ascii="Arial" w:hAnsi="Arial" w:eastAsia="바탕" w:cs="Times New Roman"/>
      <w:kern w:val="0"/>
      <w:sz w:val="22"/>
      <w:lang w:val="en-GB"/>
    </w:rPr>
  </w:style>
  <w:style w:type="character" w:customStyle="1" w:styleId="34">
    <w:name w:val="풍선 도움말 텍스트 Char"/>
    <w:link w:val="13"/>
    <w:semiHidden/>
    <w:uiPriority w:val="99"/>
    <w:rPr>
      <w:rFonts w:hAnsi="Times"/>
      <w:sz w:val="18"/>
      <w:szCs w:val="18"/>
      <w:lang w:val="en-GB" w:eastAsia="en-US"/>
    </w:rPr>
  </w:style>
  <w:style w:type="character" w:customStyle="1" w:styleId="35">
    <w:name w:val="바닥글 Char"/>
    <w:link w:val="17"/>
    <w:uiPriority w:val="99"/>
    <w:rPr>
      <w:rFonts w:ascii="Times" w:hAnsi="Times" w:eastAsia="바탕"/>
      <w:szCs w:val="24"/>
      <w:lang w:val="en-GB" w:eastAsia="en-US"/>
    </w:rPr>
  </w:style>
  <w:style w:type="character" w:customStyle="1" w:styleId="36">
    <w:name w:val="머리글 Char"/>
    <w:link w:val="18"/>
    <w:uiPriority w:val="99"/>
    <w:rPr>
      <w:rFonts w:ascii="Times" w:hAnsi="Times" w:eastAsia="바탕"/>
      <w:szCs w:val="24"/>
      <w:lang w:val="en-GB" w:eastAsia="en-US"/>
    </w:rPr>
  </w:style>
  <w:style w:type="character" w:customStyle="1" w:styleId="37">
    <w:name w:val="글자만 Char"/>
    <w:link w:val="23"/>
    <w:uiPriority w:val="99"/>
    <w:rPr>
      <w:rFonts w:ascii="Arial" w:hAnsi="Arial" w:eastAsia="MS Gothic" w:cs="Times New Roman"/>
      <w:color w:val="000000"/>
      <w:kern w:val="0"/>
      <w:szCs w:val="20"/>
    </w:rPr>
  </w:style>
  <w:style w:type="paragraph" w:customStyle="1" w:styleId="38">
    <w:name w:val="References"/>
    <w:basedOn w:val="1"/>
    <w:uiPriority w:val="0"/>
    <w:pPr>
      <w:numPr>
        <w:ilvl w:val="2"/>
        <w:numId w:val="2"/>
      </w:numPr>
    </w:pPr>
    <w:rPr>
      <w:rFonts w:ascii="Times New Roman" w:hAnsi="Times New Roman" w:eastAsia="Times New Roman"/>
      <w:lang w:val="en-US"/>
    </w:rPr>
  </w:style>
  <w:style w:type="character" w:customStyle="1" w:styleId="39">
    <w:name w:val="Unresolved Mention"/>
    <w:unhideWhenUsed/>
    <w:uiPriority w:val="99"/>
    <w:rPr>
      <w:color w:val="605E5C"/>
      <w:shd w:val="clear" w:color="auto" w:fill="E1DFDD"/>
    </w:rPr>
  </w:style>
  <w:style w:type="paragraph" w:customStyle="1" w:styleId="40">
    <w:name w:val="_Style 38"/>
    <w:semiHidden/>
    <w:uiPriority w:val="99"/>
    <w:rPr>
      <w:rFonts w:ascii="Times" w:hAnsi="Times" w:eastAsia="바탕" w:cs="Times New Roman"/>
      <w:szCs w:val="24"/>
      <w:lang w:val="en-GB" w:eastAsia="en-US" w:bidi="ar-SA"/>
    </w:rPr>
  </w:style>
  <w:style w:type="paragraph" w:customStyle="1" w:styleId="41">
    <w:name w:val="Doc-text2"/>
    <w:basedOn w:val="1"/>
    <w:qFormat/>
    <w:uiPriority w:val="0"/>
    <w:pPr>
      <w:tabs>
        <w:tab w:val="left" w:pos="1622"/>
      </w:tabs>
      <w:ind w:left="1622" w:hanging="363"/>
    </w:pPr>
    <w:rPr>
      <w:rFonts w:ascii="Arial" w:hAnsi="Arial" w:eastAsia="MS Mincho"/>
      <w:lang w:eastAsia="en-GB"/>
    </w:rPr>
  </w:style>
  <w:style w:type="character" w:customStyle="1" w:styleId="42">
    <w:name w:val="apple-converted-space"/>
    <w:basedOn w:val="11"/>
    <w:uiPriority w:val="0"/>
  </w:style>
  <w:style w:type="paragraph" w:customStyle="1" w:styleId="43">
    <w:name w:val="B1"/>
    <w:basedOn w:val="20"/>
    <w:qFormat/>
    <w:uiPriority w:val="0"/>
    <w:pPr>
      <w:spacing w:after="180"/>
      <w:ind w:left="568" w:hanging="284"/>
    </w:pPr>
    <w:rPr>
      <w:rFonts w:eastAsia="宋体"/>
      <w:lang w:val="en-GB" w:eastAsia="en-US"/>
    </w:rPr>
  </w:style>
  <w:style w:type="character" w:customStyle="1" w:styleId="44">
    <w:name w:val="s1"/>
    <w:uiPriority w:val="0"/>
    <w:rPr>
      <w:rFonts w:ascii="lucida grande" w:hAnsi="lucida grande" w:eastAsia="lucida grande" w:cs="lucida grande"/>
      <w:color w:val="0F80FE"/>
      <w:sz w:val="68"/>
      <w:szCs w:val="68"/>
    </w:rPr>
  </w:style>
  <w:style w:type="character" w:customStyle="1" w:styleId="45">
    <w:name w:val="s3"/>
    <w:uiPriority w:val="0"/>
    <w:rPr>
      <w:rFonts w:ascii="Helvetica Neue" w:hAnsi="Helvetica Neue" w:eastAsia="Helvetica Neue" w:cs="Helvetica Neue"/>
      <w:sz w:val="60"/>
      <w:szCs w:val="60"/>
    </w:rPr>
  </w:style>
  <w:style w:type="character" w:customStyle="1" w:styleId="46">
    <w:name w:val="s2"/>
    <w:uiPriority w:val="0"/>
    <w:rPr>
      <w:rFonts w:hint="default" w:ascii="lucida grande" w:hAnsi="lucida grande" w:eastAsia="lucida grande" w:cs="lucida grande"/>
      <w:color w:val="0F80FE"/>
      <w:sz w:val="90"/>
      <w:szCs w:val="90"/>
    </w:rPr>
  </w:style>
  <w:style w:type="paragraph" w:customStyle="1" w:styleId="47">
    <w:name w:val="B2"/>
    <w:basedOn w:val="21"/>
    <w:qFormat/>
    <w:uiPriority w:val="0"/>
    <w:pPr>
      <w:ind w:left="851" w:hanging="284"/>
    </w:pPr>
  </w:style>
  <w:style w:type="paragraph" w:customStyle="1" w:styleId="48">
    <w:name w:val="B3"/>
    <w:basedOn w:val="22"/>
    <w:qFormat/>
    <w:uiPriority w:val="0"/>
    <w:pPr>
      <w:ind w:left="1135" w:hanging="284"/>
    </w:pPr>
  </w:style>
  <w:style w:type="paragraph" w:customStyle="1" w:styleId="4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uiPriority w:val="0"/>
    <w:pPr>
      <w:keepNext/>
      <w:keepLines/>
      <w:spacing w:after="0"/>
    </w:pPr>
    <w:rPr>
      <w:rFonts w:ascii="Arial" w:hAnsi="Arial"/>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wmf"/><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1298</Words>
  <Characters>7405</Characters>
  <Lines>61</Lines>
  <Paragraphs>17</Paragraphs>
  <TotalTime>0</TotalTime>
  <ScaleCrop>false</ScaleCrop>
  <LinksUpToDate>false</LinksUpToDate>
  <CharactersWithSpaces>8686</CharactersWithSpaces>
  <Application>WPS Office_6.4.0.8550_F1E327BC-269C-435d-A152-05C5408002CA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2024-01-04T08:13:00Z</dcterms:created>
  <dc:creator>김윤선/표준연구팀(SR)/Master/삼성전자</dc:creator>
  <cp:lastModifiedBy>danwu</cp:lastModifiedBy>
  <dcterms:modified xsi:type="dcterms:W3CDTF">2024-02-19T11:42:57Z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1033-6.4.0.8550</vt:lpwstr>
  </property>
  <property fmtid="{D5CDD505-2E9C-101B-9397-08002B2CF9AE}" pid="4" name="ICV">
    <vt:lpwstr>BA66546712AD20674AB9D16590488F8D_43</vt:lpwstr>
  </property>
</Properties>
</file>